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72874664"/>
        <w:docPartObj>
          <w:docPartGallery w:val="Cover Pages"/>
          <w:docPartUnique/>
        </w:docPartObj>
      </w:sdtPr>
      <w:sdtEndPr/>
      <w:sdtContent>
        <w:p w14:paraId="3179A454" w14:textId="43AF3CDA" w:rsidR="000B55F5" w:rsidRDefault="000B55F5">
          <w:r>
            <w:rPr>
              <w:noProof/>
            </w:rPr>
            <mc:AlternateContent>
              <mc:Choice Requires="wps">
                <w:drawing>
                  <wp:anchor distT="0" distB="0" distL="114300" distR="114300" simplePos="0" relativeHeight="251661312" behindDoc="0" locked="1" layoutInCell="0" allowOverlap="1" wp14:anchorId="111EDEB5" wp14:editId="0E9D953B">
                    <wp:simplePos x="0" y="0"/>
                    <wp:positionH relativeFrom="page">
                      <wp:posOffset>853440</wp:posOffset>
                    </wp:positionH>
                    <wp:positionV relativeFrom="page">
                      <wp:posOffset>2632075</wp:posOffset>
                    </wp:positionV>
                    <wp:extent cx="5897880" cy="685800"/>
                    <wp:effectExtent l="0" t="0" r="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6"/>
                                    <w:szCs w:val="56"/>
                                  </w:rPr>
                                  <w:alias w:val="タイトル"/>
                                  <w:tag w:val=""/>
                                  <w:id w:val="-715119135"/>
                                  <w:dataBinding w:prefixMappings="xmlns:ns0='http://purl.org/dc/elements/1.1/' xmlns:ns1='http://schemas.openxmlformats.org/package/2006/metadata/core-properties' " w:xpath="/ns1:coreProperties[1]/ns0:title[1]" w:storeItemID="{6C3C8BC8-F283-45AE-878A-BAB7291924A1}"/>
                                  <w:text/>
                                </w:sdtPr>
                                <w:sdtEndPr/>
                                <w:sdtContent>
                                  <w:p w14:paraId="70FEE9C9" w14:textId="1574C38E" w:rsidR="0093127F" w:rsidRDefault="0093127F" w:rsidP="00BB426B">
                                    <w:pPr>
                                      <w:contextualSpacing/>
                                      <w:jc w:val="center"/>
                                      <w:rPr>
                                        <w:rFonts w:asciiTheme="majorHAnsi" w:hAnsiTheme="majorHAnsi"/>
                                        <w:color w:val="808080" w:themeColor="background1" w:themeShade="80"/>
                                        <w:sz w:val="56"/>
                                        <w:szCs w:val="56"/>
                                      </w:rPr>
                                    </w:pPr>
                                    <w:r>
                                      <w:rPr>
                                        <w:rFonts w:asciiTheme="majorHAnsi" w:hAnsiTheme="majorHAnsi" w:hint="eastAsia"/>
                                        <w:color w:val="808080" w:themeColor="background1" w:themeShade="80"/>
                                        <w:sz w:val="56"/>
                                        <w:szCs w:val="56"/>
                                      </w:rPr>
                                      <w:t>消費者金融市場の余剰分析</w:t>
                                    </w:r>
                                  </w:p>
                                </w:sdtContent>
                              </w:sdt>
                              <w:p w14:paraId="211EF4E8" w14:textId="2522877F" w:rsidR="0093127F" w:rsidRDefault="0093127F">
                                <w:pPr>
                                  <w:contextualSpacing/>
                                  <w:rPr>
                                    <w:rFonts w:asciiTheme="majorHAnsi" w:hAnsiTheme="majorHAnsi"/>
                                    <w:color w:val="808080" w:themeColor="background1"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7.2pt;margin-top:207.25pt;width:464.4pt;height:5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" o:allowincell="f" filled="f" stroked="f">
                    <v:textbox>
                      <w:txbxContent>
                        <w:sdt>
                          <w:sdtPr>
                            <w:rPr>
                              <w:rFonts w:asciiTheme="majorHAnsi" w:hAnsiTheme="majorHAnsi"/>
                              <w:color w:val="808080" w:themeColor="background1" w:themeShade="80"/>
                              <w:sz w:val="56"/>
                              <w:szCs w:val="56"/>
                            </w:rPr>
                            <w:alias w:val="タイトル"/>
                            <w:tag w:val=""/>
                            <w:id w:val="-715119135"/>
                            <w:dataBinding w:prefixMappings="xmlns:ns0='http://purl.org/dc/elements/1.1/' xmlns:ns1='http://schemas.openxmlformats.org/package/2006/metadata/core-properties' " w:xpath="/ns1:coreProperties[1]/ns0:title[1]" w:storeItemID="{6C3C8BC8-F283-45AE-878A-BAB7291924A1}"/>
                            <w:text/>
                          </w:sdtPr>
                          <w:sdtEndPr/>
                          <w:sdtContent>
                            <w:p w14:paraId="70FEE9C9" w14:textId="1574C38E" w:rsidR="0093127F" w:rsidRDefault="0093127F" w:rsidP="00BB426B">
                              <w:pPr>
                                <w:contextualSpacing/>
                                <w:jc w:val="center"/>
                                <w:rPr>
                                  <w:rFonts w:asciiTheme="majorHAnsi" w:hAnsiTheme="majorHAnsi"/>
                                  <w:color w:val="808080" w:themeColor="background1" w:themeShade="80"/>
                                  <w:sz w:val="56"/>
                                  <w:szCs w:val="56"/>
                                </w:rPr>
                              </w:pPr>
                              <w:r>
                                <w:rPr>
                                  <w:rFonts w:asciiTheme="majorHAnsi" w:hAnsiTheme="majorHAnsi" w:hint="eastAsia"/>
                                  <w:color w:val="808080" w:themeColor="background1" w:themeShade="80"/>
                                  <w:sz w:val="56"/>
                                  <w:szCs w:val="56"/>
                                </w:rPr>
                                <w:t>消費者金融市場の余剰分析</w:t>
                              </w:r>
                            </w:p>
                          </w:sdtContent>
                        </w:sdt>
                        <w:p w14:paraId="211EF4E8" w14:textId="2522877F" w:rsidR="0093127F" w:rsidRDefault="0093127F">
                          <w:pPr>
                            <w:contextualSpacing/>
                            <w:rPr>
                              <w:rFonts w:asciiTheme="majorHAnsi" w:hAnsiTheme="majorHAnsi"/>
                              <w:color w:val="808080" w:themeColor="background1" w:themeShade="80"/>
                            </w:rPr>
                          </w:pPr>
                        </w:p>
                      </w:txbxContent>
                    </v:textbox>
                    <w10:wrap anchorx="page" anchory="page"/>
                    <w10:anchorlock/>
                  </v:rect>
                </w:pict>
              </mc:Fallback>
            </mc:AlternateContent>
          </w:r>
        </w:p>
        <w:p w14:paraId="4860351E" w14:textId="7542FF24" w:rsidR="000B55F5" w:rsidRDefault="00BB426B">
          <w:pPr>
            <w:widowControl/>
            <w:jc w:val="left"/>
          </w:pPr>
          <w:r>
            <w:rPr>
              <w:noProof/>
            </w:rPr>
            <mc:AlternateContent>
              <mc:Choice Requires="wps">
                <w:drawing>
                  <wp:anchor distT="0" distB="0" distL="114300" distR="114300" simplePos="0" relativeHeight="251663360" behindDoc="0" locked="0" layoutInCell="1" allowOverlap="1" wp14:anchorId="26430F07" wp14:editId="20D5A6F9">
                    <wp:simplePos x="0" y="0"/>
                    <wp:positionH relativeFrom="column">
                      <wp:posOffset>2133600</wp:posOffset>
                    </wp:positionH>
                    <wp:positionV relativeFrom="paragraph">
                      <wp:posOffset>2743200</wp:posOffset>
                    </wp:positionV>
                    <wp:extent cx="2000250" cy="1714500"/>
                    <wp:effectExtent l="0" t="0" r="0" b="12700"/>
                    <wp:wrapSquare wrapText="bothSides"/>
                    <wp:docPr id="10" name="テキスト 10"/>
                    <wp:cNvGraphicFramePr/>
                    <a:graphic xmlns:a="http://schemas.openxmlformats.org/drawingml/2006/main">
                      <a:graphicData uri="http://schemas.microsoft.com/office/word/2010/wordprocessingShape">
                        <wps:wsp>
                          <wps:cNvSpPr txBox="1"/>
                          <wps:spPr>
                            <a:xfrm>
                              <a:off x="0" y="0"/>
                              <a:ext cx="200025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2E047C" w14:textId="44DFE40F" w:rsidR="0093127F" w:rsidRDefault="0093127F" w:rsidP="00BB426B">
                                <w:pPr>
                                  <w:jc w:val="center"/>
                                </w:pPr>
                                <w:r>
                                  <w:rPr>
                                    <w:rFonts w:hint="eastAsia"/>
                                  </w:rPr>
                                  <w:t>2013</w:t>
                                </w:r>
                                <w:r>
                                  <w:rPr>
                                    <w:rFonts w:hint="eastAsia"/>
                                  </w:rPr>
                                  <w:t>年</w:t>
                                </w:r>
                                <w:r>
                                  <w:rPr>
                                    <w:rFonts w:hint="eastAsia"/>
                                  </w:rPr>
                                  <w:t>2</w:t>
                                </w:r>
                                <w:r>
                                  <w:rPr>
                                    <w:rFonts w:hint="eastAsia"/>
                                  </w:rPr>
                                  <w:t>月</w:t>
                                </w:r>
                                <w:r>
                                  <w:rPr>
                                    <w:rFonts w:hint="eastAsia"/>
                                  </w:rPr>
                                  <w:t>24</w:t>
                                </w:r>
                                <w:r>
                                  <w:rPr>
                                    <w:rFonts w:hint="eastAsia"/>
                                  </w:rPr>
                                  <w:t>日</w:t>
                                </w:r>
                              </w:p>
                              <w:p w14:paraId="306F03B5" w14:textId="3881AAD8" w:rsidR="0093127F" w:rsidRDefault="0093127F" w:rsidP="00BB426B">
                                <w:pPr>
                                  <w:jc w:val="center"/>
                                </w:pPr>
                                <w:r>
                                  <w:rPr>
                                    <w:rFonts w:hint="eastAsia"/>
                                  </w:rPr>
                                  <w:t>東京大学公共政策大学院</w:t>
                                </w:r>
                              </w:p>
                              <w:p w14:paraId="01F03070" w14:textId="4B22D58F" w:rsidR="0093127F" w:rsidRDefault="0093127F" w:rsidP="00BB426B">
                                <w:pPr>
                                  <w:jc w:val="center"/>
                                </w:pPr>
                                <w:r>
                                  <w:rPr>
                                    <w:rFonts w:hint="eastAsia"/>
                                  </w:rPr>
                                  <w:t>51118070</w:t>
                                </w:r>
                                <w:r>
                                  <w:rPr>
                                    <w:rFonts w:hint="eastAsia"/>
                                  </w:rPr>
                                  <w:t xml:space="preserve">　石渡　慧一</w:t>
                                </w:r>
                              </w:p>
                              <w:p w14:paraId="56F34B80" w14:textId="763CCC45" w:rsidR="0093127F" w:rsidRDefault="0093127F" w:rsidP="00BB426B">
                                <w:pPr>
                                  <w:jc w:val="center"/>
                                </w:pPr>
                                <w:r>
                                  <w:rPr>
                                    <w:rFonts w:hint="eastAsia"/>
                                  </w:rPr>
                                  <w:t>51</w:t>
                                </w:r>
                                <w:r>
                                  <w:t>1</w:t>
                                </w:r>
                                <w:r>
                                  <w:rPr>
                                    <w:rFonts w:hint="eastAsia"/>
                                  </w:rPr>
                                  <w:t>18076</w:t>
                                </w:r>
                                <w:r>
                                  <w:rPr>
                                    <w:rFonts w:hint="eastAsia"/>
                                  </w:rPr>
                                  <w:t xml:space="preserve">　大口　正隆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0" o:spid="_x0000_s1027" type="#_x0000_t202" style="position:absolute;margin-left:168pt;margin-top:3in;width:1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" filled="f" stroked="f">
                    <v:textbox>
                      <w:txbxContent>
                        <w:p w14:paraId="702E047C" w14:textId="44DFE40F" w:rsidR="0093127F" w:rsidRDefault="0093127F" w:rsidP="00BB426B">
                          <w:pPr>
                            <w:jc w:val="center"/>
                          </w:pPr>
                          <w:r>
                            <w:rPr>
                              <w:rFonts w:hint="eastAsia"/>
                            </w:rPr>
                            <w:t>2013</w:t>
                          </w:r>
                          <w:r>
                            <w:rPr>
                              <w:rFonts w:hint="eastAsia"/>
                            </w:rPr>
                            <w:t>年</w:t>
                          </w:r>
                          <w:r>
                            <w:rPr>
                              <w:rFonts w:hint="eastAsia"/>
                            </w:rPr>
                            <w:t>2</w:t>
                          </w:r>
                          <w:r>
                            <w:rPr>
                              <w:rFonts w:hint="eastAsia"/>
                            </w:rPr>
                            <w:t>月</w:t>
                          </w:r>
                          <w:r>
                            <w:rPr>
                              <w:rFonts w:hint="eastAsia"/>
                            </w:rPr>
                            <w:t>24</w:t>
                          </w:r>
                          <w:r>
                            <w:rPr>
                              <w:rFonts w:hint="eastAsia"/>
                            </w:rPr>
                            <w:t>日</w:t>
                          </w:r>
                        </w:p>
                        <w:p w14:paraId="306F03B5" w14:textId="3881AAD8" w:rsidR="0093127F" w:rsidRDefault="0093127F" w:rsidP="00BB426B">
                          <w:pPr>
                            <w:jc w:val="center"/>
                          </w:pPr>
                          <w:r>
                            <w:rPr>
                              <w:rFonts w:hint="eastAsia"/>
                            </w:rPr>
                            <w:t>東京大学公共政策大学院</w:t>
                          </w:r>
                        </w:p>
                        <w:p w14:paraId="01F03070" w14:textId="4B22D58F" w:rsidR="0093127F" w:rsidRDefault="0093127F" w:rsidP="00BB426B">
                          <w:pPr>
                            <w:jc w:val="center"/>
                          </w:pPr>
                          <w:r>
                            <w:rPr>
                              <w:rFonts w:hint="eastAsia"/>
                            </w:rPr>
                            <w:t>51118070</w:t>
                          </w:r>
                          <w:r>
                            <w:rPr>
                              <w:rFonts w:hint="eastAsia"/>
                            </w:rPr>
                            <w:t xml:space="preserve">　石渡　慧一</w:t>
                          </w:r>
                        </w:p>
                        <w:p w14:paraId="56F34B80" w14:textId="763CCC45" w:rsidR="0093127F" w:rsidRDefault="0093127F" w:rsidP="00BB426B">
                          <w:pPr>
                            <w:jc w:val="center"/>
                          </w:pPr>
                          <w:r>
                            <w:rPr>
                              <w:rFonts w:hint="eastAsia"/>
                            </w:rPr>
                            <w:t>51</w:t>
                          </w:r>
                          <w:r>
                            <w:t>1</w:t>
                          </w:r>
                          <w:r>
                            <w:rPr>
                              <w:rFonts w:hint="eastAsia"/>
                            </w:rPr>
                            <w:t>18076</w:t>
                          </w:r>
                          <w:r>
                            <w:rPr>
                              <w:rFonts w:hint="eastAsia"/>
                            </w:rPr>
                            <w:t xml:space="preserve">　大口　正隆</w:t>
                          </w:r>
                        </w:p>
                      </w:txbxContent>
                    </v:textbox>
                    <w10:wrap type="square"/>
                  </v:shape>
                </w:pict>
              </mc:Fallback>
            </mc:AlternateContent>
          </w:r>
          <w:r w:rsidR="000B55F5">
            <w:br w:type="page"/>
          </w:r>
        </w:p>
      </w:sdtContent>
    </w:sdt>
    <w:p w14:paraId="5F500D1D" w14:textId="77587FE3" w:rsidR="001E4DFB" w:rsidRPr="001E4DFB" w:rsidRDefault="001E4DFB" w:rsidP="001E4DFB">
      <w:pPr>
        <w:jc w:val="center"/>
        <w:rPr>
          <w:b/>
          <w:u w:val="single"/>
        </w:rPr>
      </w:pPr>
      <w:r w:rsidRPr="001E4DFB">
        <w:rPr>
          <w:rFonts w:hint="eastAsia"/>
          <w:b/>
          <w:u w:val="single"/>
        </w:rPr>
        <w:lastRenderedPageBreak/>
        <w:t>要旨</w:t>
      </w:r>
    </w:p>
    <w:p w14:paraId="2C2FDE3F" w14:textId="5ABBA1D8" w:rsidR="00A16D92" w:rsidRDefault="00961B4B">
      <w:pPr>
        <w:pStyle w:val="21"/>
        <w:tabs>
          <w:tab w:val="right" w:leader="dot" w:pos="8494"/>
        </w:tabs>
      </w:pPr>
      <w:r>
        <w:rPr>
          <w:rFonts w:hint="eastAsia"/>
        </w:rPr>
        <w:t>本稿の趣旨は最高裁判決及び貸金業法改正によって構造変化が起こった消費者金融市場における余剰の変化を分析することである。消費者金融市場における過去の統計やカードローン市場や消費者信用市場との比較によって、消費者金融市場の構造変化は明らかになった。その一方でこの構造変化を余剰の観点から分析した先行研究はないことを確認した。よって構造変化が起こる前の</w:t>
      </w:r>
      <w:r>
        <w:rPr>
          <w:rFonts w:hint="eastAsia"/>
        </w:rPr>
        <w:t>2005</w:t>
      </w:r>
      <w:r>
        <w:rPr>
          <w:rFonts w:hint="eastAsia"/>
        </w:rPr>
        <w:t>年以前の消費者金融市場の統計を使った実証分析や消費者金融大手</w:t>
      </w:r>
      <w:r>
        <w:rPr>
          <w:rFonts w:hint="eastAsia"/>
        </w:rPr>
        <w:t>5</w:t>
      </w:r>
      <w:r>
        <w:rPr>
          <w:rFonts w:hint="eastAsia"/>
        </w:rPr>
        <w:t>社の有価証券報告書などによって余剰分析を行った。また多重債務者問題にも論じ、最高裁判決及び貸金業法改正についての評価を行う上での課題を述べた。以上の分析により、最高裁判決及び貸金業法改正は経済的規制という文脈からは評価できないと結論付けた。</w:t>
      </w:r>
    </w:p>
    <w:p w14:paraId="436DEB2E" w14:textId="77777777" w:rsidR="00A16D92" w:rsidRDefault="00A16D92">
      <w:pPr>
        <w:pStyle w:val="21"/>
        <w:tabs>
          <w:tab w:val="right" w:leader="dot" w:pos="8494"/>
        </w:tabs>
      </w:pPr>
    </w:p>
    <w:p w14:paraId="6AE42ACF" w14:textId="77777777" w:rsidR="00A16D92" w:rsidRDefault="00A16D92">
      <w:pPr>
        <w:pStyle w:val="21"/>
        <w:tabs>
          <w:tab w:val="right" w:leader="dot" w:pos="8494"/>
        </w:tabs>
      </w:pPr>
    </w:p>
    <w:p w14:paraId="4E4B4501" w14:textId="77777777" w:rsidR="00A16D92" w:rsidRDefault="00A16D92">
      <w:pPr>
        <w:pStyle w:val="21"/>
        <w:tabs>
          <w:tab w:val="right" w:leader="dot" w:pos="8494"/>
        </w:tabs>
      </w:pPr>
    </w:p>
    <w:p w14:paraId="38A3104E" w14:textId="77777777" w:rsidR="00A16D92" w:rsidRDefault="00A16D92">
      <w:pPr>
        <w:pStyle w:val="21"/>
        <w:tabs>
          <w:tab w:val="right" w:leader="dot" w:pos="8494"/>
        </w:tabs>
      </w:pPr>
    </w:p>
    <w:p w14:paraId="62B54B1D" w14:textId="77777777" w:rsidR="00A16D92" w:rsidRDefault="00A16D92">
      <w:pPr>
        <w:pStyle w:val="21"/>
        <w:tabs>
          <w:tab w:val="right" w:leader="dot" w:pos="8494"/>
        </w:tabs>
      </w:pPr>
    </w:p>
    <w:p w14:paraId="600F7C03" w14:textId="77777777" w:rsidR="00A16D92" w:rsidRDefault="00A16D92">
      <w:pPr>
        <w:pStyle w:val="21"/>
        <w:tabs>
          <w:tab w:val="right" w:leader="dot" w:pos="8494"/>
        </w:tabs>
      </w:pPr>
    </w:p>
    <w:p w14:paraId="4D156F2F" w14:textId="77777777" w:rsidR="00A16D92" w:rsidRDefault="00A16D92">
      <w:pPr>
        <w:pStyle w:val="21"/>
        <w:tabs>
          <w:tab w:val="right" w:leader="dot" w:pos="8494"/>
        </w:tabs>
      </w:pPr>
    </w:p>
    <w:p w14:paraId="4A572DB9" w14:textId="77777777" w:rsidR="00A16D92" w:rsidRDefault="00A16D92">
      <w:pPr>
        <w:pStyle w:val="21"/>
        <w:tabs>
          <w:tab w:val="right" w:leader="dot" w:pos="8494"/>
        </w:tabs>
      </w:pPr>
    </w:p>
    <w:p w14:paraId="0D81EF45" w14:textId="77777777" w:rsidR="00A16D92" w:rsidRDefault="00A16D92">
      <w:pPr>
        <w:pStyle w:val="21"/>
        <w:tabs>
          <w:tab w:val="right" w:leader="dot" w:pos="8494"/>
        </w:tabs>
      </w:pPr>
    </w:p>
    <w:p w14:paraId="4CC4F478" w14:textId="77777777" w:rsidR="00A16D92" w:rsidRDefault="00A16D92">
      <w:pPr>
        <w:pStyle w:val="21"/>
        <w:tabs>
          <w:tab w:val="right" w:leader="dot" w:pos="8494"/>
        </w:tabs>
      </w:pPr>
    </w:p>
    <w:p w14:paraId="3AE38798" w14:textId="77777777" w:rsidR="00A16D92" w:rsidRDefault="00A16D92">
      <w:pPr>
        <w:pStyle w:val="21"/>
        <w:tabs>
          <w:tab w:val="right" w:leader="dot" w:pos="8494"/>
        </w:tabs>
      </w:pPr>
    </w:p>
    <w:p w14:paraId="45D5B08E" w14:textId="77777777" w:rsidR="00A16D92" w:rsidRDefault="00A16D92">
      <w:pPr>
        <w:pStyle w:val="21"/>
        <w:tabs>
          <w:tab w:val="right" w:leader="dot" w:pos="8494"/>
        </w:tabs>
      </w:pPr>
    </w:p>
    <w:p w14:paraId="31E3055D" w14:textId="77777777" w:rsidR="00A16D92" w:rsidRDefault="00A16D92">
      <w:pPr>
        <w:pStyle w:val="21"/>
        <w:tabs>
          <w:tab w:val="right" w:leader="dot" w:pos="8494"/>
        </w:tabs>
      </w:pPr>
    </w:p>
    <w:p w14:paraId="6D518917" w14:textId="77777777" w:rsidR="00A16D92" w:rsidRDefault="00A16D92">
      <w:pPr>
        <w:pStyle w:val="21"/>
        <w:tabs>
          <w:tab w:val="right" w:leader="dot" w:pos="8494"/>
        </w:tabs>
      </w:pPr>
    </w:p>
    <w:p w14:paraId="6C051C0F" w14:textId="77777777" w:rsidR="00A16D92" w:rsidRDefault="00A16D92">
      <w:pPr>
        <w:pStyle w:val="21"/>
        <w:tabs>
          <w:tab w:val="right" w:leader="dot" w:pos="8494"/>
        </w:tabs>
      </w:pPr>
    </w:p>
    <w:p w14:paraId="309EAF4D" w14:textId="77777777" w:rsidR="00A16D92" w:rsidRDefault="00A16D92" w:rsidP="00A16D92">
      <w:pPr>
        <w:pStyle w:val="21"/>
        <w:tabs>
          <w:tab w:val="right" w:leader="dot" w:pos="8494"/>
        </w:tabs>
        <w:ind w:leftChars="0" w:left="0"/>
        <w:rPr>
          <w:rFonts w:hint="eastAsia"/>
        </w:rPr>
      </w:pPr>
    </w:p>
    <w:p w14:paraId="6B3CC950" w14:textId="77777777" w:rsidR="00961B4B" w:rsidRDefault="00961B4B" w:rsidP="00961B4B">
      <w:pPr>
        <w:rPr>
          <w:rFonts w:hint="eastAsia"/>
        </w:rPr>
      </w:pPr>
    </w:p>
    <w:p w14:paraId="1603E6D8" w14:textId="77777777" w:rsidR="00961B4B" w:rsidRDefault="00961B4B" w:rsidP="00961B4B">
      <w:pPr>
        <w:rPr>
          <w:rFonts w:hint="eastAsia"/>
        </w:rPr>
      </w:pPr>
    </w:p>
    <w:p w14:paraId="2EBBABC9" w14:textId="77777777" w:rsidR="00961B4B" w:rsidRDefault="00961B4B" w:rsidP="00961B4B">
      <w:pPr>
        <w:rPr>
          <w:rFonts w:hint="eastAsia"/>
        </w:rPr>
      </w:pPr>
    </w:p>
    <w:p w14:paraId="70BA0426" w14:textId="77777777" w:rsidR="00961B4B" w:rsidRDefault="00961B4B" w:rsidP="00961B4B">
      <w:pPr>
        <w:rPr>
          <w:rFonts w:hint="eastAsia"/>
        </w:rPr>
      </w:pPr>
    </w:p>
    <w:p w14:paraId="2B3E269C" w14:textId="77777777" w:rsidR="00961B4B" w:rsidRDefault="00961B4B" w:rsidP="00961B4B">
      <w:pPr>
        <w:rPr>
          <w:rFonts w:hint="eastAsia"/>
        </w:rPr>
      </w:pPr>
    </w:p>
    <w:p w14:paraId="0A5BEB71" w14:textId="77777777" w:rsidR="00961B4B" w:rsidRDefault="00961B4B" w:rsidP="00961B4B">
      <w:pPr>
        <w:rPr>
          <w:rFonts w:hint="eastAsia"/>
        </w:rPr>
      </w:pPr>
    </w:p>
    <w:p w14:paraId="03640D72" w14:textId="77777777" w:rsidR="00961B4B" w:rsidRDefault="00961B4B" w:rsidP="00961B4B">
      <w:pPr>
        <w:rPr>
          <w:rFonts w:hint="eastAsia"/>
        </w:rPr>
      </w:pPr>
    </w:p>
    <w:p w14:paraId="30647527" w14:textId="77777777" w:rsidR="00961B4B" w:rsidRDefault="00961B4B" w:rsidP="00961B4B">
      <w:pPr>
        <w:rPr>
          <w:rFonts w:hint="eastAsia"/>
        </w:rPr>
      </w:pPr>
    </w:p>
    <w:p w14:paraId="18EF2F7D" w14:textId="77777777" w:rsidR="00961B4B" w:rsidRDefault="00961B4B" w:rsidP="00961B4B">
      <w:pPr>
        <w:rPr>
          <w:rFonts w:hint="eastAsia"/>
        </w:rPr>
      </w:pPr>
    </w:p>
    <w:p w14:paraId="2AFD8B7A" w14:textId="77777777" w:rsidR="00961B4B" w:rsidRDefault="00961B4B" w:rsidP="00961B4B">
      <w:pPr>
        <w:rPr>
          <w:rFonts w:hint="eastAsia"/>
        </w:rPr>
      </w:pPr>
    </w:p>
    <w:p w14:paraId="5BDCA295" w14:textId="77777777" w:rsidR="00961B4B" w:rsidRPr="00961B4B" w:rsidRDefault="00961B4B" w:rsidP="00961B4B">
      <w:pPr>
        <w:rPr>
          <w:rFonts w:hint="eastAsia"/>
        </w:rPr>
      </w:pPr>
    </w:p>
    <w:p w14:paraId="6E048D0C" w14:textId="77777777" w:rsidR="00E96D25" w:rsidRDefault="00E96D25">
      <w:pPr>
        <w:pStyle w:val="21"/>
        <w:tabs>
          <w:tab w:val="right" w:leader="dot" w:pos="8494"/>
        </w:tabs>
        <w:rPr>
          <w:noProof/>
          <w:sz w:val="24"/>
          <w:szCs w:val="24"/>
        </w:rPr>
      </w:pPr>
      <w:r>
        <w:lastRenderedPageBreak/>
        <w:fldChar w:fldCharType="begin"/>
      </w:r>
      <w:r>
        <w:instrText xml:space="preserve"> TOC \o "1-3" </w:instrText>
      </w:r>
      <w:r>
        <w:fldChar w:fldCharType="separate"/>
      </w:r>
      <w:r>
        <w:rPr>
          <w:rFonts w:hint="eastAsia"/>
          <w:noProof/>
        </w:rPr>
        <w:t>序章</w:t>
      </w:r>
      <w:r>
        <w:rPr>
          <w:noProof/>
        </w:rPr>
        <w:tab/>
      </w:r>
      <w:r>
        <w:rPr>
          <w:noProof/>
        </w:rPr>
        <w:fldChar w:fldCharType="begin"/>
      </w:r>
      <w:r>
        <w:rPr>
          <w:noProof/>
        </w:rPr>
        <w:instrText xml:space="preserve"> PAGEREF _Toc221603805 \h </w:instrText>
      </w:r>
      <w:r>
        <w:rPr>
          <w:noProof/>
        </w:rPr>
      </w:r>
      <w:r>
        <w:rPr>
          <w:noProof/>
        </w:rPr>
        <w:fldChar w:fldCharType="separate"/>
      </w:r>
      <w:r w:rsidR="0093127F">
        <w:rPr>
          <w:noProof/>
        </w:rPr>
        <w:t>3</w:t>
      </w:r>
      <w:r>
        <w:rPr>
          <w:noProof/>
        </w:rPr>
        <w:fldChar w:fldCharType="end"/>
      </w:r>
    </w:p>
    <w:p w14:paraId="3FA3EB56" w14:textId="77777777" w:rsidR="00E96D25" w:rsidRDefault="00E96D25">
      <w:pPr>
        <w:pStyle w:val="21"/>
        <w:tabs>
          <w:tab w:val="right" w:leader="dot" w:pos="8494"/>
        </w:tabs>
        <w:rPr>
          <w:noProof/>
          <w:sz w:val="24"/>
          <w:szCs w:val="24"/>
        </w:rPr>
      </w:pPr>
      <w:r>
        <w:rPr>
          <w:noProof/>
        </w:rPr>
        <w:t>2</w:t>
      </w:r>
      <w:r>
        <w:rPr>
          <w:rFonts w:hint="eastAsia"/>
          <w:noProof/>
        </w:rPr>
        <w:t>章　消費者金融市場の概観</w:t>
      </w:r>
      <w:r>
        <w:rPr>
          <w:noProof/>
        </w:rPr>
        <w:tab/>
      </w:r>
      <w:r>
        <w:rPr>
          <w:noProof/>
        </w:rPr>
        <w:fldChar w:fldCharType="begin"/>
      </w:r>
      <w:r>
        <w:rPr>
          <w:noProof/>
        </w:rPr>
        <w:instrText xml:space="preserve"> PAGEREF _Toc221603806 \h </w:instrText>
      </w:r>
      <w:r>
        <w:rPr>
          <w:noProof/>
        </w:rPr>
      </w:r>
      <w:r>
        <w:rPr>
          <w:noProof/>
        </w:rPr>
        <w:fldChar w:fldCharType="separate"/>
      </w:r>
      <w:r w:rsidR="0093127F">
        <w:rPr>
          <w:noProof/>
        </w:rPr>
        <w:t>4</w:t>
      </w:r>
      <w:r>
        <w:rPr>
          <w:noProof/>
        </w:rPr>
        <w:fldChar w:fldCharType="end"/>
      </w:r>
    </w:p>
    <w:p w14:paraId="0E882454" w14:textId="77777777" w:rsidR="00E96D25" w:rsidRDefault="00E96D25">
      <w:pPr>
        <w:pStyle w:val="21"/>
        <w:tabs>
          <w:tab w:val="right" w:leader="dot" w:pos="8494"/>
        </w:tabs>
        <w:rPr>
          <w:noProof/>
          <w:sz w:val="24"/>
          <w:szCs w:val="24"/>
        </w:rPr>
      </w:pPr>
      <w:r>
        <w:rPr>
          <w:noProof/>
        </w:rPr>
        <w:t>3</w:t>
      </w:r>
      <w:r>
        <w:rPr>
          <w:rFonts w:hint="eastAsia"/>
          <w:noProof/>
        </w:rPr>
        <w:t>章　先行研究の概観</w:t>
      </w:r>
      <w:r>
        <w:rPr>
          <w:noProof/>
        </w:rPr>
        <w:tab/>
      </w:r>
      <w:r>
        <w:rPr>
          <w:noProof/>
        </w:rPr>
        <w:fldChar w:fldCharType="begin"/>
      </w:r>
      <w:r>
        <w:rPr>
          <w:noProof/>
        </w:rPr>
        <w:instrText xml:space="preserve"> PAGEREF _Toc221603807 \h </w:instrText>
      </w:r>
      <w:r>
        <w:rPr>
          <w:noProof/>
        </w:rPr>
      </w:r>
      <w:r>
        <w:rPr>
          <w:noProof/>
        </w:rPr>
        <w:fldChar w:fldCharType="separate"/>
      </w:r>
      <w:r w:rsidR="0093127F">
        <w:rPr>
          <w:noProof/>
        </w:rPr>
        <w:t>5</w:t>
      </w:r>
      <w:r>
        <w:rPr>
          <w:noProof/>
        </w:rPr>
        <w:fldChar w:fldCharType="end"/>
      </w:r>
    </w:p>
    <w:p w14:paraId="17E65514" w14:textId="77777777" w:rsidR="00E96D25" w:rsidRDefault="00E96D25">
      <w:pPr>
        <w:pStyle w:val="31"/>
        <w:tabs>
          <w:tab w:val="right" w:leader="dot" w:pos="8494"/>
        </w:tabs>
        <w:rPr>
          <w:noProof/>
          <w:sz w:val="24"/>
          <w:szCs w:val="24"/>
        </w:rPr>
      </w:pPr>
      <w:r>
        <w:rPr>
          <w:noProof/>
        </w:rPr>
        <w:t>3</w:t>
      </w:r>
      <w:r>
        <w:rPr>
          <w:rFonts w:hint="eastAsia"/>
          <w:noProof/>
        </w:rPr>
        <w:t>－</w:t>
      </w:r>
      <w:r>
        <w:rPr>
          <w:noProof/>
        </w:rPr>
        <w:t>1</w:t>
      </w:r>
      <w:r>
        <w:rPr>
          <w:rFonts w:hint="eastAsia"/>
          <w:noProof/>
        </w:rPr>
        <w:t xml:space="preserve">　上限金利規制の理論的根拠</w:t>
      </w:r>
      <w:r>
        <w:rPr>
          <w:noProof/>
        </w:rPr>
        <w:tab/>
      </w:r>
      <w:r>
        <w:rPr>
          <w:noProof/>
        </w:rPr>
        <w:fldChar w:fldCharType="begin"/>
      </w:r>
      <w:r>
        <w:rPr>
          <w:noProof/>
        </w:rPr>
        <w:instrText xml:space="preserve"> PAGEREF _Toc221603808 \h </w:instrText>
      </w:r>
      <w:r>
        <w:rPr>
          <w:noProof/>
        </w:rPr>
      </w:r>
      <w:r>
        <w:rPr>
          <w:noProof/>
        </w:rPr>
        <w:fldChar w:fldCharType="separate"/>
      </w:r>
      <w:r w:rsidR="0093127F">
        <w:rPr>
          <w:noProof/>
        </w:rPr>
        <w:t>18</w:t>
      </w:r>
      <w:r>
        <w:rPr>
          <w:noProof/>
        </w:rPr>
        <w:fldChar w:fldCharType="end"/>
      </w:r>
    </w:p>
    <w:p w14:paraId="7A5A9A55" w14:textId="77777777" w:rsidR="00E96D25" w:rsidRDefault="00E96D25">
      <w:pPr>
        <w:pStyle w:val="31"/>
        <w:tabs>
          <w:tab w:val="right" w:leader="dot" w:pos="8494"/>
        </w:tabs>
        <w:rPr>
          <w:noProof/>
          <w:sz w:val="24"/>
          <w:szCs w:val="24"/>
        </w:rPr>
      </w:pPr>
      <w:r>
        <w:rPr>
          <w:noProof/>
        </w:rPr>
        <w:t>3</w:t>
      </w:r>
      <w:r>
        <w:rPr>
          <w:rFonts w:hint="eastAsia"/>
          <w:noProof/>
        </w:rPr>
        <w:t>－</w:t>
      </w:r>
      <w:r>
        <w:rPr>
          <w:noProof/>
        </w:rPr>
        <w:t>1</w:t>
      </w:r>
      <w:r>
        <w:rPr>
          <w:rFonts w:hint="eastAsia"/>
          <w:noProof/>
        </w:rPr>
        <w:t>－</w:t>
      </w:r>
      <w:r>
        <w:rPr>
          <w:noProof/>
        </w:rPr>
        <w:t>1</w:t>
      </w:r>
      <w:r>
        <w:rPr>
          <w:rFonts w:hint="eastAsia"/>
          <w:noProof/>
        </w:rPr>
        <w:t>ゆがんだ消費</w:t>
      </w:r>
      <w:r>
        <w:rPr>
          <w:noProof/>
        </w:rPr>
        <w:tab/>
      </w:r>
      <w:r>
        <w:rPr>
          <w:noProof/>
        </w:rPr>
        <w:fldChar w:fldCharType="begin"/>
      </w:r>
      <w:r>
        <w:rPr>
          <w:noProof/>
        </w:rPr>
        <w:instrText xml:space="preserve"> PAGEREF _Toc221603809 \h </w:instrText>
      </w:r>
      <w:r>
        <w:rPr>
          <w:noProof/>
        </w:rPr>
      </w:r>
      <w:r>
        <w:rPr>
          <w:noProof/>
        </w:rPr>
        <w:fldChar w:fldCharType="separate"/>
      </w:r>
      <w:r w:rsidR="0093127F">
        <w:rPr>
          <w:noProof/>
        </w:rPr>
        <w:t>18</w:t>
      </w:r>
      <w:r>
        <w:rPr>
          <w:noProof/>
        </w:rPr>
        <w:fldChar w:fldCharType="end"/>
      </w:r>
    </w:p>
    <w:p w14:paraId="00DFA652" w14:textId="77777777" w:rsidR="00E96D25" w:rsidRDefault="00E96D25">
      <w:pPr>
        <w:pStyle w:val="31"/>
        <w:tabs>
          <w:tab w:val="right" w:leader="dot" w:pos="8494"/>
        </w:tabs>
        <w:rPr>
          <w:noProof/>
          <w:sz w:val="24"/>
          <w:szCs w:val="24"/>
        </w:rPr>
      </w:pPr>
      <w:r>
        <w:rPr>
          <w:noProof/>
        </w:rPr>
        <w:t>3</w:t>
      </w:r>
      <w:r>
        <w:rPr>
          <w:rFonts w:hint="eastAsia"/>
          <w:noProof/>
        </w:rPr>
        <w:t>－</w:t>
      </w:r>
      <w:r>
        <w:rPr>
          <w:noProof/>
        </w:rPr>
        <w:t>1</w:t>
      </w:r>
      <w:r>
        <w:rPr>
          <w:rFonts w:hint="eastAsia"/>
          <w:noProof/>
        </w:rPr>
        <w:t>－</w:t>
      </w:r>
      <w:r>
        <w:rPr>
          <w:noProof/>
        </w:rPr>
        <w:t>2</w:t>
      </w:r>
      <w:r>
        <w:rPr>
          <w:rFonts w:hint="eastAsia"/>
          <w:noProof/>
        </w:rPr>
        <w:t xml:space="preserve">　独占市場</w:t>
      </w:r>
      <w:r>
        <w:rPr>
          <w:noProof/>
        </w:rPr>
        <w:tab/>
      </w:r>
      <w:r>
        <w:rPr>
          <w:noProof/>
        </w:rPr>
        <w:fldChar w:fldCharType="begin"/>
      </w:r>
      <w:r>
        <w:rPr>
          <w:noProof/>
        </w:rPr>
        <w:instrText xml:space="preserve"> PAGEREF _Toc221603810 \h </w:instrText>
      </w:r>
      <w:r>
        <w:rPr>
          <w:noProof/>
        </w:rPr>
      </w:r>
      <w:r>
        <w:rPr>
          <w:noProof/>
        </w:rPr>
        <w:fldChar w:fldCharType="separate"/>
      </w:r>
      <w:r w:rsidR="0093127F">
        <w:rPr>
          <w:noProof/>
        </w:rPr>
        <w:t>19</w:t>
      </w:r>
      <w:r>
        <w:rPr>
          <w:noProof/>
        </w:rPr>
        <w:fldChar w:fldCharType="end"/>
      </w:r>
    </w:p>
    <w:p w14:paraId="1EFC3996" w14:textId="77777777" w:rsidR="00E96D25" w:rsidRDefault="00E96D25">
      <w:pPr>
        <w:pStyle w:val="31"/>
        <w:tabs>
          <w:tab w:val="right" w:leader="dot" w:pos="8494"/>
        </w:tabs>
        <w:rPr>
          <w:noProof/>
          <w:sz w:val="24"/>
          <w:szCs w:val="24"/>
        </w:rPr>
      </w:pPr>
      <w:r>
        <w:rPr>
          <w:noProof/>
        </w:rPr>
        <w:t>3</w:t>
      </w:r>
      <w:r>
        <w:rPr>
          <w:rFonts w:hint="eastAsia"/>
          <w:noProof/>
        </w:rPr>
        <w:t>－</w:t>
      </w:r>
      <w:r>
        <w:rPr>
          <w:noProof/>
        </w:rPr>
        <w:t>2</w:t>
      </w:r>
      <w:r>
        <w:rPr>
          <w:rFonts w:hint="eastAsia"/>
          <w:noProof/>
        </w:rPr>
        <w:t xml:space="preserve">　セパレーティング均衡</w:t>
      </w:r>
      <w:r>
        <w:rPr>
          <w:noProof/>
        </w:rPr>
        <w:tab/>
      </w:r>
      <w:r>
        <w:rPr>
          <w:noProof/>
        </w:rPr>
        <w:fldChar w:fldCharType="begin"/>
      </w:r>
      <w:r>
        <w:rPr>
          <w:noProof/>
        </w:rPr>
        <w:instrText xml:space="preserve"> PAGEREF _Toc221603811 \h </w:instrText>
      </w:r>
      <w:r>
        <w:rPr>
          <w:noProof/>
        </w:rPr>
      </w:r>
      <w:r>
        <w:rPr>
          <w:noProof/>
        </w:rPr>
        <w:fldChar w:fldCharType="separate"/>
      </w:r>
      <w:r w:rsidR="0093127F">
        <w:rPr>
          <w:noProof/>
        </w:rPr>
        <w:t>20</w:t>
      </w:r>
      <w:r>
        <w:rPr>
          <w:noProof/>
        </w:rPr>
        <w:fldChar w:fldCharType="end"/>
      </w:r>
    </w:p>
    <w:p w14:paraId="4D39DFE6" w14:textId="77777777" w:rsidR="00E96D25" w:rsidRDefault="00E96D25">
      <w:pPr>
        <w:pStyle w:val="21"/>
        <w:tabs>
          <w:tab w:val="right" w:leader="dot" w:pos="8494"/>
        </w:tabs>
        <w:rPr>
          <w:noProof/>
          <w:sz w:val="24"/>
          <w:szCs w:val="24"/>
        </w:rPr>
      </w:pPr>
      <w:r>
        <w:rPr>
          <w:noProof/>
        </w:rPr>
        <w:t>4</w:t>
      </w:r>
      <w:r>
        <w:rPr>
          <w:rFonts w:hint="eastAsia"/>
          <w:noProof/>
        </w:rPr>
        <w:t>章　消費者金融市場についての実証分析</w:t>
      </w:r>
      <w:r>
        <w:rPr>
          <w:noProof/>
        </w:rPr>
        <w:tab/>
      </w:r>
      <w:r>
        <w:rPr>
          <w:noProof/>
        </w:rPr>
        <w:fldChar w:fldCharType="begin"/>
      </w:r>
      <w:r>
        <w:rPr>
          <w:noProof/>
        </w:rPr>
        <w:instrText xml:space="preserve"> PAGEREF _Toc221603812 \h </w:instrText>
      </w:r>
      <w:r>
        <w:rPr>
          <w:noProof/>
        </w:rPr>
      </w:r>
      <w:r>
        <w:rPr>
          <w:noProof/>
        </w:rPr>
        <w:fldChar w:fldCharType="separate"/>
      </w:r>
      <w:r w:rsidR="0093127F">
        <w:rPr>
          <w:noProof/>
        </w:rPr>
        <w:t>5</w:t>
      </w:r>
      <w:r>
        <w:rPr>
          <w:noProof/>
        </w:rPr>
        <w:fldChar w:fldCharType="end"/>
      </w:r>
    </w:p>
    <w:p w14:paraId="404F4692" w14:textId="77777777" w:rsidR="00E96D25" w:rsidRDefault="00E96D25">
      <w:pPr>
        <w:pStyle w:val="31"/>
        <w:tabs>
          <w:tab w:val="right" w:leader="dot" w:pos="8494"/>
        </w:tabs>
        <w:rPr>
          <w:noProof/>
          <w:sz w:val="24"/>
          <w:szCs w:val="24"/>
        </w:rPr>
      </w:pPr>
      <w:r>
        <w:rPr>
          <w:noProof/>
        </w:rPr>
        <w:t>4</w:t>
      </w:r>
      <w:r>
        <w:rPr>
          <w:rFonts w:hint="eastAsia"/>
          <w:noProof/>
        </w:rPr>
        <w:t>－</w:t>
      </w:r>
      <w:r>
        <w:rPr>
          <w:noProof/>
        </w:rPr>
        <w:t>1</w:t>
      </w:r>
      <w:r>
        <w:rPr>
          <w:rFonts w:hint="eastAsia"/>
          <w:noProof/>
        </w:rPr>
        <w:t xml:space="preserve">　分析の枠組み</w:t>
      </w:r>
      <w:r>
        <w:rPr>
          <w:noProof/>
        </w:rPr>
        <w:tab/>
      </w:r>
      <w:r>
        <w:rPr>
          <w:noProof/>
        </w:rPr>
        <w:fldChar w:fldCharType="begin"/>
      </w:r>
      <w:r>
        <w:rPr>
          <w:noProof/>
        </w:rPr>
        <w:instrText xml:space="preserve"> PAGEREF _Toc221603813 \h </w:instrText>
      </w:r>
      <w:r>
        <w:rPr>
          <w:noProof/>
        </w:rPr>
      </w:r>
      <w:r>
        <w:rPr>
          <w:noProof/>
        </w:rPr>
        <w:fldChar w:fldCharType="separate"/>
      </w:r>
      <w:r w:rsidR="0093127F">
        <w:rPr>
          <w:noProof/>
        </w:rPr>
        <w:t>5</w:t>
      </w:r>
      <w:r>
        <w:rPr>
          <w:noProof/>
        </w:rPr>
        <w:fldChar w:fldCharType="end"/>
      </w:r>
    </w:p>
    <w:p w14:paraId="3C532043" w14:textId="77777777" w:rsidR="00E96D25" w:rsidRDefault="00E96D25">
      <w:pPr>
        <w:pStyle w:val="31"/>
        <w:tabs>
          <w:tab w:val="right" w:leader="dot" w:pos="8494"/>
        </w:tabs>
        <w:rPr>
          <w:noProof/>
          <w:sz w:val="24"/>
          <w:szCs w:val="24"/>
        </w:rPr>
      </w:pPr>
      <w:r>
        <w:rPr>
          <w:noProof/>
        </w:rPr>
        <w:t>4</w:t>
      </w:r>
      <w:r>
        <w:rPr>
          <w:rFonts w:hint="eastAsia"/>
          <w:noProof/>
        </w:rPr>
        <w:t>－</w:t>
      </w:r>
      <w:r>
        <w:rPr>
          <w:noProof/>
        </w:rPr>
        <w:t>2</w:t>
      </w:r>
      <w:r>
        <w:rPr>
          <w:rFonts w:hint="eastAsia"/>
          <w:noProof/>
        </w:rPr>
        <w:t xml:space="preserve">　消費者金融市場と消費者信用市場との比較</w:t>
      </w:r>
      <w:r>
        <w:rPr>
          <w:noProof/>
        </w:rPr>
        <w:tab/>
      </w:r>
      <w:r>
        <w:rPr>
          <w:noProof/>
        </w:rPr>
        <w:fldChar w:fldCharType="begin"/>
      </w:r>
      <w:r>
        <w:rPr>
          <w:noProof/>
        </w:rPr>
        <w:instrText xml:space="preserve"> PAGEREF _Toc221603814 \h </w:instrText>
      </w:r>
      <w:r>
        <w:rPr>
          <w:noProof/>
        </w:rPr>
      </w:r>
      <w:r>
        <w:rPr>
          <w:noProof/>
        </w:rPr>
        <w:fldChar w:fldCharType="separate"/>
      </w:r>
      <w:r w:rsidR="0093127F">
        <w:rPr>
          <w:noProof/>
        </w:rPr>
        <w:t>6</w:t>
      </w:r>
      <w:r>
        <w:rPr>
          <w:noProof/>
        </w:rPr>
        <w:fldChar w:fldCharType="end"/>
      </w:r>
    </w:p>
    <w:p w14:paraId="5C098048" w14:textId="77777777" w:rsidR="00E96D25" w:rsidRDefault="00E96D25">
      <w:pPr>
        <w:pStyle w:val="31"/>
        <w:tabs>
          <w:tab w:val="right" w:leader="dot" w:pos="8494"/>
        </w:tabs>
        <w:rPr>
          <w:noProof/>
          <w:sz w:val="24"/>
          <w:szCs w:val="24"/>
        </w:rPr>
      </w:pPr>
      <w:r>
        <w:rPr>
          <w:noProof/>
        </w:rPr>
        <w:t>4</w:t>
      </w:r>
      <w:r>
        <w:rPr>
          <w:rFonts w:hint="eastAsia"/>
          <w:noProof/>
        </w:rPr>
        <w:t>－</w:t>
      </w:r>
      <w:r>
        <w:rPr>
          <w:noProof/>
        </w:rPr>
        <w:t>3</w:t>
      </w:r>
      <w:r>
        <w:rPr>
          <w:rFonts w:hint="eastAsia"/>
          <w:noProof/>
        </w:rPr>
        <w:t xml:space="preserve">　消費者金融市場全体と大手５社への最高裁判決の影響の比較分析</w:t>
      </w:r>
      <w:r>
        <w:rPr>
          <w:noProof/>
        </w:rPr>
        <w:tab/>
      </w:r>
      <w:r>
        <w:rPr>
          <w:noProof/>
        </w:rPr>
        <w:fldChar w:fldCharType="begin"/>
      </w:r>
      <w:r>
        <w:rPr>
          <w:noProof/>
        </w:rPr>
        <w:instrText xml:space="preserve"> PAGEREF _Toc221603815 \h </w:instrText>
      </w:r>
      <w:r>
        <w:rPr>
          <w:noProof/>
        </w:rPr>
      </w:r>
      <w:r>
        <w:rPr>
          <w:noProof/>
        </w:rPr>
        <w:fldChar w:fldCharType="separate"/>
      </w:r>
      <w:r w:rsidR="0093127F">
        <w:rPr>
          <w:noProof/>
        </w:rPr>
        <w:t>7</w:t>
      </w:r>
      <w:r>
        <w:rPr>
          <w:noProof/>
        </w:rPr>
        <w:fldChar w:fldCharType="end"/>
      </w:r>
    </w:p>
    <w:p w14:paraId="738B311B" w14:textId="77777777" w:rsidR="00E96D25" w:rsidRDefault="00E96D25">
      <w:pPr>
        <w:pStyle w:val="31"/>
        <w:tabs>
          <w:tab w:val="right" w:leader="dot" w:pos="8494"/>
        </w:tabs>
        <w:rPr>
          <w:noProof/>
          <w:sz w:val="24"/>
          <w:szCs w:val="24"/>
        </w:rPr>
      </w:pPr>
      <w:r>
        <w:rPr>
          <w:noProof/>
        </w:rPr>
        <w:t>4</w:t>
      </w:r>
      <w:r>
        <w:rPr>
          <w:rFonts w:hint="eastAsia"/>
          <w:noProof/>
        </w:rPr>
        <w:t>－</w:t>
      </w:r>
      <w:r>
        <w:rPr>
          <w:noProof/>
        </w:rPr>
        <w:t>3</w:t>
      </w:r>
      <w:r>
        <w:rPr>
          <w:rFonts w:hint="eastAsia"/>
          <w:noProof/>
        </w:rPr>
        <w:t>－</w:t>
      </w:r>
      <w:r>
        <w:rPr>
          <w:noProof/>
        </w:rPr>
        <w:t xml:space="preserve">1 </w:t>
      </w:r>
      <w:r>
        <w:rPr>
          <w:rFonts w:hint="eastAsia"/>
          <w:noProof/>
        </w:rPr>
        <w:t>データ</w:t>
      </w:r>
      <w:r>
        <w:rPr>
          <w:noProof/>
        </w:rPr>
        <w:tab/>
      </w:r>
      <w:r>
        <w:rPr>
          <w:noProof/>
        </w:rPr>
        <w:fldChar w:fldCharType="begin"/>
      </w:r>
      <w:r>
        <w:rPr>
          <w:noProof/>
        </w:rPr>
        <w:instrText xml:space="preserve"> PAGEREF _Toc221603816 \h </w:instrText>
      </w:r>
      <w:r>
        <w:rPr>
          <w:noProof/>
        </w:rPr>
      </w:r>
      <w:r>
        <w:rPr>
          <w:noProof/>
        </w:rPr>
        <w:fldChar w:fldCharType="separate"/>
      </w:r>
      <w:r w:rsidR="0093127F">
        <w:rPr>
          <w:noProof/>
        </w:rPr>
        <w:t>7</w:t>
      </w:r>
      <w:r>
        <w:rPr>
          <w:noProof/>
        </w:rPr>
        <w:fldChar w:fldCharType="end"/>
      </w:r>
    </w:p>
    <w:p w14:paraId="3DE7C8AD" w14:textId="77777777" w:rsidR="00E96D25" w:rsidRDefault="00E96D25">
      <w:pPr>
        <w:pStyle w:val="31"/>
        <w:tabs>
          <w:tab w:val="right" w:leader="dot" w:pos="8494"/>
        </w:tabs>
        <w:rPr>
          <w:noProof/>
          <w:sz w:val="24"/>
          <w:szCs w:val="24"/>
        </w:rPr>
      </w:pPr>
      <w:r>
        <w:rPr>
          <w:noProof/>
        </w:rPr>
        <w:t>4</w:t>
      </w:r>
      <w:r>
        <w:rPr>
          <w:rFonts w:hint="eastAsia"/>
          <w:noProof/>
        </w:rPr>
        <w:t>－</w:t>
      </w:r>
      <w:r>
        <w:rPr>
          <w:noProof/>
        </w:rPr>
        <w:t>3</w:t>
      </w:r>
      <w:r>
        <w:rPr>
          <w:rFonts w:hint="eastAsia"/>
          <w:noProof/>
        </w:rPr>
        <w:t>－</w:t>
      </w:r>
      <w:r>
        <w:rPr>
          <w:noProof/>
        </w:rPr>
        <w:t xml:space="preserve">2 </w:t>
      </w:r>
      <w:r>
        <w:rPr>
          <w:rFonts w:hint="eastAsia"/>
          <w:noProof/>
        </w:rPr>
        <w:t>モデル</w:t>
      </w:r>
      <w:r>
        <w:rPr>
          <w:noProof/>
        </w:rPr>
        <w:tab/>
      </w:r>
      <w:r>
        <w:rPr>
          <w:noProof/>
        </w:rPr>
        <w:fldChar w:fldCharType="begin"/>
      </w:r>
      <w:r>
        <w:rPr>
          <w:noProof/>
        </w:rPr>
        <w:instrText xml:space="preserve"> PAGEREF _Toc221603817 \h </w:instrText>
      </w:r>
      <w:r>
        <w:rPr>
          <w:noProof/>
        </w:rPr>
      </w:r>
      <w:r>
        <w:rPr>
          <w:noProof/>
        </w:rPr>
        <w:fldChar w:fldCharType="separate"/>
      </w:r>
      <w:r w:rsidR="0093127F">
        <w:rPr>
          <w:noProof/>
        </w:rPr>
        <w:t>8</w:t>
      </w:r>
      <w:r>
        <w:rPr>
          <w:noProof/>
        </w:rPr>
        <w:fldChar w:fldCharType="end"/>
      </w:r>
    </w:p>
    <w:p w14:paraId="000A7609" w14:textId="77777777" w:rsidR="00E96D25" w:rsidRDefault="00E96D25">
      <w:pPr>
        <w:pStyle w:val="31"/>
        <w:tabs>
          <w:tab w:val="right" w:leader="dot" w:pos="8494"/>
        </w:tabs>
        <w:rPr>
          <w:noProof/>
          <w:sz w:val="24"/>
          <w:szCs w:val="24"/>
        </w:rPr>
      </w:pPr>
      <w:r>
        <w:rPr>
          <w:noProof/>
        </w:rPr>
        <w:t>4</w:t>
      </w:r>
      <w:r>
        <w:rPr>
          <w:rFonts w:hint="eastAsia"/>
          <w:noProof/>
        </w:rPr>
        <w:t>－</w:t>
      </w:r>
      <w:r>
        <w:rPr>
          <w:noProof/>
        </w:rPr>
        <w:t>3</w:t>
      </w:r>
      <w:r>
        <w:rPr>
          <w:rFonts w:hint="eastAsia"/>
          <w:noProof/>
        </w:rPr>
        <w:t>－</w:t>
      </w:r>
      <w:r>
        <w:rPr>
          <w:noProof/>
        </w:rPr>
        <w:t xml:space="preserve">3 </w:t>
      </w:r>
      <w:r>
        <w:rPr>
          <w:rFonts w:hint="eastAsia"/>
          <w:noProof/>
        </w:rPr>
        <w:t>推計結果</w:t>
      </w:r>
      <w:r>
        <w:rPr>
          <w:noProof/>
        </w:rPr>
        <w:tab/>
      </w:r>
      <w:r>
        <w:rPr>
          <w:noProof/>
        </w:rPr>
        <w:fldChar w:fldCharType="begin"/>
      </w:r>
      <w:r>
        <w:rPr>
          <w:noProof/>
        </w:rPr>
        <w:instrText xml:space="preserve"> PAGEREF _Toc221603818 \h </w:instrText>
      </w:r>
      <w:r>
        <w:rPr>
          <w:noProof/>
        </w:rPr>
      </w:r>
      <w:r>
        <w:rPr>
          <w:noProof/>
        </w:rPr>
        <w:fldChar w:fldCharType="separate"/>
      </w:r>
      <w:r w:rsidR="0093127F">
        <w:rPr>
          <w:noProof/>
        </w:rPr>
        <w:t>8</w:t>
      </w:r>
      <w:r>
        <w:rPr>
          <w:noProof/>
        </w:rPr>
        <w:fldChar w:fldCharType="end"/>
      </w:r>
    </w:p>
    <w:p w14:paraId="2C5EDAF0" w14:textId="77777777" w:rsidR="00E96D25" w:rsidRDefault="00E96D25">
      <w:pPr>
        <w:pStyle w:val="31"/>
        <w:tabs>
          <w:tab w:val="right" w:leader="dot" w:pos="8494"/>
        </w:tabs>
        <w:rPr>
          <w:noProof/>
          <w:sz w:val="24"/>
          <w:szCs w:val="24"/>
        </w:rPr>
      </w:pPr>
      <w:r>
        <w:rPr>
          <w:noProof/>
        </w:rPr>
        <w:t>4</w:t>
      </w:r>
      <w:r>
        <w:rPr>
          <w:rFonts w:hint="eastAsia"/>
          <w:noProof/>
        </w:rPr>
        <w:t>－</w:t>
      </w:r>
      <w:r>
        <w:rPr>
          <w:noProof/>
        </w:rPr>
        <w:t>3</w:t>
      </w:r>
      <w:r>
        <w:rPr>
          <w:rFonts w:hint="eastAsia"/>
          <w:noProof/>
        </w:rPr>
        <w:t>－</w:t>
      </w:r>
      <w:r>
        <w:rPr>
          <w:noProof/>
        </w:rPr>
        <w:t xml:space="preserve">4 </w:t>
      </w:r>
      <w:r>
        <w:rPr>
          <w:rFonts w:hint="eastAsia"/>
          <w:noProof/>
        </w:rPr>
        <w:t>データ</w:t>
      </w:r>
      <w:r>
        <w:rPr>
          <w:noProof/>
        </w:rPr>
        <w:tab/>
      </w:r>
      <w:r>
        <w:rPr>
          <w:noProof/>
        </w:rPr>
        <w:fldChar w:fldCharType="begin"/>
      </w:r>
      <w:r>
        <w:rPr>
          <w:noProof/>
        </w:rPr>
        <w:instrText xml:space="preserve"> PAGEREF _Toc221603819 \h </w:instrText>
      </w:r>
      <w:r>
        <w:rPr>
          <w:noProof/>
        </w:rPr>
      </w:r>
      <w:r>
        <w:rPr>
          <w:noProof/>
        </w:rPr>
        <w:fldChar w:fldCharType="separate"/>
      </w:r>
      <w:r w:rsidR="0093127F">
        <w:rPr>
          <w:noProof/>
        </w:rPr>
        <w:t>8</w:t>
      </w:r>
      <w:r>
        <w:rPr>
          <w:noProof/>
        </w:rPr>
        <w:fldChar w:fldCharType="end"/>
      </w:r>
    </w:p>
    <w:p w14:paraId="4E01EE59" w14:textId="77777777" w:rsidR="00E96D25" w:rsidRDefault="00E96D25">
      <w:pPr>
        <w:pStyle w:val="31"/>
        <w:tabs>
          <w:tab w:val="right" w:leader="dot" w:pos="8494"/>
        </w:tabs>
        <w:rPr>
          <w:noProof/>
          <w:sz w:val="24"/>
          <w:szCs w:val="24"/>
        </w:rPr>
      </w:pPr>
      <w:r>
        <w:rPr>
          <w:noProof/>
        </w:rPr>
        <w:t>4</w:t>
      </w:r>
      <w:r>
        <w:rPr>
          <w:rFonts w:hint="eastAsia"/>
          <w:noProof/>
        </w:rPr>
        <w:t>－</w:t>
      </w:r>
      <w:r>
        <w:rPr>
          <w:noProof/>
        </w:rPr>
        <w:t>3</w:t>
      </w:r>
      <w:r>
        <w:rPr>
          <w:rFonts w:hint="eastAsia"/>
          <w:noProof/>
        </w:rPr>
        <w:t>－</w:t>
      </w:r>
      <w:r>
        <w:rPr>
          <w:noProof/>
        </w:rPr>
        <w:t xml:space="preserve">5 </w:t>
      </w:r>
      <w:r>
        <w:rPr>
          <w:rFonts w:hint="eastAsia"/>
          <w:noProof/>
        </w:rPr>
        <w:t>モデル</w:t>
      </w:r>
      <w:r>
        <w:rPr>
          <w:noProof/>
        </w:rPr>
        <w:tab/>
      </w:r>
      <w:r>
        <w:rPr>
          <w:noProof/>
        </w:rPr>
        <w:fldChar w:fldCharType="begin"/>
      </w:r>
      <w:r>
        <w:rPr>
          <w:noProof/>
        </w:rPr>
        <w:instrText xml:space="preserve"> PAGEREF _Toc221603820 \h </w:instrText>
      </w:r>
      <w:r>
        <w:rPr>
          <w:noProof/>
        </w:rPr>
      </w:r>
      <w:r>
        <w:rPr>
          <w:noProof/>
        </w:rPr>
        <w:fldChar w:fldCharType="separate"/>
      </w:r>
      <w:r w:rsidR="0093127F">
        <w:rPr>
          <w:noProof/>
        </w:rPr>
        <w:t>9</w:t>
      </w:r>
      <w:r>
        <w:rPr>
          <w:noProof/>
        </w:rPr>
        <w:fldChar w:fldCharType="end"/>
      </w:r>
    </w:p>
    <w:p w14:paraId="3B21A68C" w14:textId="77777777" w:rsidR="00E96D25" w:rsidRDefault="00E96D25">
      <w:pPr>
        <w:pStyle w:val="31"/>
        <w:tabs>
          <w:tab w:val="right" w:leader="dot" w:pos="8494"/>
        </w:tabs>
        <w:rPr>
          <w:noProof/>
          <w:sz w:val="24"/>
          <w:szCs w:val="24"/>
        </w:rPr>
      </w:pPr>
      <w:r>
        <w:rPr>
          <w:noProof/>
        </w:rPr>
        <w:t>4</w:t>
      </w:r>
      <w:r>
        <w:rPr>
          <w:rFonts w:hint="eastAsia"/>
          <w:noProof/>
        </w:rPr>
        <w:t>－</w:t>
      </w:r>
      <w:r>
        <w:rPr>
          <w:noProof/>
        </w:rPr>
        <w:t>3</w:t>
      </w:r>
      <w:r>
        <w:rPr>
          <w:rFonts w:hint="eastAsia"/>
          <w:noProof/>
        </w:rPr>
        <w:t>－</w:t>
      </w:r>
      <w:r>
        <w:rPr>
          <w:noProof/>
        </w:rPr>
        <w:t xml:space="preserve">6 </w:t>
      </w:r>
      <w:r>
        <w:rPr>
          <w:rFonts w:hint="eastAsia"/>
          <w:noProof/>
        </w:rPr>
        <w:t>推計結果</w:t>
      </w:r>
      <w:r>
        <w:rPr>
          <w:noProof/>
        </w:rPr>
        <w:tab/>
      </w:r>
      <w:r>
        <w:rPr>
          <w:noProof/>
        </w:rPr>
        <w:fldChar w:fldCharType="begin"/>
      </w:r>
      <w:r>
        <w:rPr>
          <w:noProof/>
        </w:rPr>
        <w:instrText xml:space="preserve"> PAGEREF _Toc221603821 \h </w:instrText>
      </w:r>
      <w:r>
        <w:rPr>
          <w:noProof/>
        </w:rPr>
      </w:r>
      <w:r>
        <w:rPr>
          <w:noProof/>
        </w:rPr>
        <w:fldChar w:fldCharType="separate"/>
      </w:r>
      <w:r w:rsidR="0093127F">
        <w:rPr>
          <w:noProof/>
        </w:rPr>
        <w:t>9</w:t>
      </w:r>
      <w:r>
        <w:rPr>
          <w:noProof/>
        </w:rPr>
        <w:fldChar w:fldCharType="end"/>
      </w:r>
    </w:p>
    <w:p w14:paraId="14FF1703" w14:textId="77777777" w:rsidR="00E96D25" w:rsidRDefault="00E96D25">
      <w:pPr>
        <w:pStyle w:val="31"/>
        <w:tabs>
          <w:tab w:val="right" w:leader="dot" w:pos="8494"/>
        </w:tabs>
        <w:rPr>
          <w:noProof/>
          <w:sz w:val="24"/>
          <w:szCs w:val="24"/>
        </w:rPr>
      </w:pPr>
      <w:r>
        <w:rPr>
          <w:noProof/>
        </w:rPr>
        <w:t>4</w:t>
      </w:r>
      <w:r>
        <w:rPr>
          <w:rFonts w:hint="eastAsia"/>
          <w:noProof/>
        </w:rPr>
        <w:t>－</w:t>
      </w:r>
      <w:r>
        <w:rPr>
          <w:noProof/>
        </w:rPr>
        <w:t>3</w:t>
      </w:r>
      <w:r>
        <w:rPr>
          <w:rFonts w:hint="eastAsia"/>
          <w:noProof/>
        </w:rPr>
        <w:t>－</w:t>
      </w:r>
      <w:r>
        <w:rPr>
          <w:noProof/>
        </w:rPr>
        <w:t xml:space="preserve">7 </w:t>
      </w:r>
      <w:r>
        <w:rPr>
          <w:rFonts w:hint="eastAsia"/>
          <w:noProof/>
        </w:rPr>
        <w:t>考察</w:t>
      </w:r>
      <w:r>
        <w:rPr>
          <w:noProof/>
        </w:rPr>
        <w:tab/>
      </w:r>
      <w:r>
        <w:rPr>
          <w:noProof/>
        </w:rPr>
        <w:fldChar w:fldCharType="begin"/>
      </w:r>
      <w:r>
        <w:rPr>
          <w:noProof/>
        </w:rPr>
        <w:instrText xml:space="preserve"> PAGEREF _Toc221603822 \h </w:instrText>
      </w:r>
      <w:r>
        <w:rPr>
          <w:noProof/>
        </w:rPr>
      </w:r>
      <w:r>
        <w:rPr>
          <w:noProof/>
        </w:rPr>
        <w:fldChar w:fldCharType="separate"/>
      </w:r>
      <w:r w:rsidR="0093127F">
        <w:rPr>
          <w:noProof/>
        </w:rPr>
        <w:t>9</w:t>
      </w:r>
      <w:r>
        <w:rPr>
          <w:noProof/>
        </w:rPr>
        <w:fldChar w:fldCharType="end"/>
      </w:r>
    </w:p>
    <w:p w14:paraId="192292E0" w14:textId="77777777" w:rsidR="00E96D25" w:rsidRDefault="00E96D25">
      <w:pPr>
        <w:pStyle w:val="31"/>
        <w:tabs>
          <w:tab w:val="right" w:leader="dot" w:pos="8494"/>
        </w:tabs>
        <w:rPr>
          <w:noProof/>
          <w:sz w:val="24"/>
          <w:szCs w:val="24"/>
        </w:rPr>
      </w:pPr>
      <w:r>
        <w:rPr>
          <w:noProof/>
        </w:rPr>
        <w:t>4</w:t>
      </w:r>
      <w:r>
        <w:rPr>
          <w:rFonts w:hint="eastAsia"/>
          <w:noProof/>
        </w:rPr>
        <w:t>－</w:t>
      </w:r>
      <w:r>
        <w:rPr>
          <w:noProof/>
        </w:rPr>
        <w:t>4</w:t>
      </w:r>
      <w:r>
        <w:rPr>
          <w:rFonts w:hint="eastAsia"/>
          <w:noProof/>
        </w:rPr>
        <w:t xml:space="preserve">　カードローン市場の分析</w:t>
      </w:r>
      <w:r>
        <w:rPr>
          <w:noProof/>
        </w:rPr>
        <w:tab/>
      </w:r>
      <w:r>
        <w:rPr>
          <w:noProof/>
        </w:rPr>
        <w:fldChar w:fldCharType="begin"/>
      </w:r>
      <w:r>
        <w:rPr>
          <w:noProof/>
        </w:rPr>
        <w:instrText xml:space="preserve"> PAGEREF _Toc221603823 \h </w:instrText>
      </w:r>
      <w:r>
        <w:rPr>
          <w:noProof/>
        </w:rPr>
      </w:r>
      <w:r>
        <w:rPr>
          <w:noProof/>
        </w:rPr>
        <w:fldChar w:fldCharType="separate"/>
      </w:r>
      <w:r w:rsidR="0093127F">
        <w:rPr>
          <w:noProof/>
        </w:rPr>
        <w:t>6</w:t>
      </w:r>
      <w:r>
        <w:rPr>
          <w:noProof/>
        </w:rPr>
        <w:fldChar w:fldCharType="end"/>
      </w:r>
    </w:p>
    <w:p w14:paraId="5E696B79" w14:textId="77777777" w:rsidR="00E96D25" w:rsidRDefault="00E96D25">
      <w:pPr>
        <w:pStyle w:val="31"/>
        <w:tabs>
          <w:tab w:val="right" w:leader="dot" w:pos="8494"/>
        </w:tabs>
        <w:rPr>
          <w:noProof/>
          <w:sz w:val="24"/>
          <w:szCs w:val="24"/>
        </w:rPr>
      </w:pPr>
      <w:r>
        <w:rPr>
          <w:noProof/>
        </w:rPr>
        <w:t>4</w:t>
      </w:r>
      <w:r>
        <w:rPr>
          <w:rFonts w:hint="eastAsia"/>
          <w:noProof/>
        </w:rPr>
        <w:t>－</w:t>
      </w:r>
      <w:r>
        <w:rPr>
          <w:noProof/>
        </w:rPr>
        <w:t>4</w:t>
      </w:r>
      <w:r>
        <w:rPr>
          <w:rFonts w:hint="eastAsia"/>
          <w:noProof/>
        </w:rPr>
        <w:t>－</w:t>
      </w:r>
      <w:r>
        <w:rPr>
          <w:noProof/>
        </w:rPr>
        <w:t>1</w:t>
      </w:r>
      <w:r>
        <w:rPr>
          <w:rFonts w:hint="eastAsia"/>
          <w:noProof/>
        </w:rPr>
        <w:t xml:space="preserve">　銀行系カードローンの特徴</w:t>
      </w:r>
      <w:r>
        <w:rPr>
          <w:noProof/>
        </w:rPr>
        <w:tab/>
      </w:r>
      <w:r>
        <w:rPr>
          <w:noProof/>
        </w:rPr>
        <w:fldChar w:fldCharType="begin"/>
      </w:r>
      <w:r>
        <w:rPr>
          <w:noProof/>
        </w:rPr>
        <w:instrText xml:space="preserve"> PAGEREF _Toc221603824 \h </w:instrText>
      </w:r>
      <w:r>
        <w:rPr>
          <w:noProof/>
        </w:rPr>
      </w:r>
      <w:r>
        <w:rPr>
          <w:noProof/>
        </w:rPr>
        <w:fldChar w:fldCharType="separate"/>
      </w:r>
      <w:r w:rsidR="0093127F">
        <w:rPr>
          <w:noProof/>
        </w:rPr>
        <w:t>6</w:t>
      </w:r>
      <w:r>
        <w:rPr>
          <w:noProof/>
        </w:rPr>
        <w:fldChar w:fldCharType="end"/>
      </w:r>
    </w:p>
    <w:p w14:paraId="0D4CE178" w14:textId="77777777" w:rsidR="00E96D25" w:rsidRDefault="00E96D25">
      <w:pPr>
        <w:pStyle w:val="21"/>
        <w:tabs>
          <w:tab w:val="right" w:leader="dot" w:pos="8494"/>
        </w:tabs>
        <w:rPr>
          <w:noProof/>
          <w:sz w:val="24"/>
          <w:szCs w:val="24"/>
        </w:rPr>
      </w:pPr>
      <w:r>
        <w:rPr>
          <w:noProof/>
        </w:rPr>
        <w:t>5</w:t>
      </w:r>
      <w:r>
        <w:rPr>
          <w:rFonts w:hint="eastAsia"/>
          <w:noProof/>
        </w:rPr>
        <w:t>章　消費者余剰分析</w:t>
      </w:r>
      <w:r>
        <w:rPr>
          <w:noProof/>
        </w:rPr>
        <w:tab/>
      </w:r>
      <w:r>
        <w:rPr>
          <w:noProof/>
        </w:rPr>
        <w:fldChar w:fldCharType="begin"/>
      </w:r>
      <w:r>
        <w:rPr>
          <w:noProof/>
        </w:rPr>
        <w:instrText xml:space="preserve"> PAGEREF _Toc221603825 \h </w:instrText>
      </w:r>
      <w:r>
        <w:rPr>
          <w:noProof/>
        </w:rPr>
      </w:r>
      <w:r>
        <w:rPr>
          <w:noProof/>
        </w:rPr>
        <w:fldChar w:fldCharType="separate"/>
      </w:r>
      <w:r w:rsidR="0093127F">
        <w:rPr>
          <w:noProof/>
        </w:rPr>
        <w:t>10</w:t>
      </w:r>
      <w:r>
        <w:rPr>
          <w:noProof/>
        </w:rPr>
        <w:fldChar w:fldCharType="end"/>
      </w:r>
    </w:p>
    <w:p w14:paraId="59726A45" w14:textId="77777777" w:rsidR="00E96D25" w:rsidRDefault="00E96D25">
      <w:pPr>
        <w:pStyle w:val="31"/>
        <w:tabs>
          <w:tab w:val="right" w:leader="dot" w:pos="8494"/>
        </w:tabs>
        <w:rPr>
          <w:noProof/>
          <w:sz w:val="24"/>
          <w:szCs w:val="24"/>
        </w:rPr>
      </w:pPr>
      <w:r>
        <w:rPr>
          <w:noProof/>
        </w:rPr>
        <w:t>5</w:t>
      </w:r>
      <w:r>
        <w:rPr>
          <w:rFonts w:hint="eastAsia"/>
          <w:noProof/>
        </w:rPr>
        <w:t>－</w:t>
      </w:r>
      <w:r>
        <w:rPr>
          <w:noProof/>
        </w:rPr>
        <w:t>1</w:t>
      </w:r>
      <w:r>
        <w:rPr>
          <w:rFonts w:hint="eastAsia"/>
          <w:noProof/>
        </w:rPr>
        <w:t xml:space="preserve">　最高裁判決以前の金利弾力性の比較分析</w:t>
      </w:r>
      <w:r>
        <w:rPr>
          <w:noProof/>
        </w:rPr>
        <w:tab/>
      </w:r>
      <w:r>
        <w:rPr>
          <w:noProof/>
        </w:rPr>
        <w:fldChar w:fldCharType="begin"/>
      </w:r>
      <w:r>
        <w:rPr>
          <w:noProof/>
        </w:rPr>
        <w:instrText xml:space="preserve"> PAGEREF _Toc221603826 \h </w:instrText>
      </w:r>
      <w:r>
        <w:rPr>
          <w:noProof/>
        </w:rPr>
      </w:r>
      <w:r>
        <w:rPr>
          <w:noProof/>
        </w:rPr>
        <w:fldChar w:fldCharType="separate"/>
      </w:r>
      <w:r w:rsidR="0093127F">
        <w:rPr>
          <w:noProof/>
        </w:rPr>
        <w:t>10</w:t>
      </w:r>
      <w:r>
        <w:rPr>
          <w:noProof/>
        </w:rPr>
        <w:fldChar w:fldCharType="end"/>
      </w:r>
    </w:p>
    <w:p w14:paraId="1563C351" w14:textId="77777777" w:rsidR="00E96D25" w:rsidRDefault="00E96D25">
      <w:pPr>
        <w:pStyle w:val="31"/>
        <w:tabs>
          <w:tab w:val="right" w:leader="dot" w:pos="8494"/>
        </w:tabs>
        <w:rPr>
          <w:noProof/>
          <w:sz w:val="24"/>
          <w:szCs w:val="24"/>
        </w:rPr>
      </w:pPr>
      <w:r>
        <w:rPr>
          <w:noProof/>
        </w:rPr>
        <w:t>5</w:t>
      </w:r>
      <w:r>
        <w:rPr>
          <w:rFonts w:hint="eastAsia"/>
          <w:noProof/>
        </w:rPr>
        <w:t>－</w:t>
      </w:r>
      <w:r>
        <w:rPr>
          <w:noProof/>
        </w:rPr>
        <w:t>1</w:t>
      </w:r>
      <w:r>
        <w:rPr>
          <w:rFonts w:hint="eastAsia"/>
          <w:noProof/>
        </w:rPr>
        <w:t>－</w:t>
      </w:r>
      <w:r>
        <w:rPr>
          <w:noProof/>
        </w:rPr>
        <w:t>1.</w:t>
      </w:r>
      <w:r>
        <w:rPr>
          <w:rFonts w:hint="eastAsia"/>
          <w:noProof/>
        </w:rPr>
        <w:t xml:space="preserve">　モデル</w:t>
      </w:r>
      <w:r>
        <w:rPr>
          <w:noProof/>
        </w:rPr>
        <w:tab/>
      </w:r>
      <w:r>
        <w:rPr>
          <w:noProof/>
        </w:rPr>
        <w:fldChar w:fldCharType="begin"/>
      </w:r>
      <w:r>
        <w:rPr>
          <w:noProof/>
        </w:rPr>
        <w:instrText xml:space="preserve"> PAGEREF _Toc221603827 \h </w:instrText>
      </w:r>
      <w:r>
        <w:rPr>
          <w:noProof/>
        </w:rPr>
      </w:r>
      <w:r>
        <w:rPr>
          <w:noProof/>
        </w:rPr>
        <w:fldChar w:fldCharType="separate"/>
      </w:r>
      <w:r w:rsidR="0093127F">
        <w:rPr>
          <w:noProof/>
        </w:rPr>
        <w:t>10</w:t>
      </w:r>
      <w:r>
        <w:rPr>
          <w:noProof/>
        </w:rPr>
        <w:fldChar w:fldCharType="end"/>
      </w:r>
    </w:p>
    <w:p w14:paraId="2F48C3A2" w14:textId="77777777" w:rsidR="00E96D25" w:rsidRDefault="00E96D25">
      <w:pPr>
        <w:pStyle w:val="31"/>
        <w:tabs>
          <w:tab w:val="right" w:leader="dot" w:pos="8494"/>
        </w:tabs>
        <w:rPr>
          <w:noProof/>
          <w:sz w:val="24"/>
          <w:szCs w:val="24"/>
        </w:rPr>
      </w:pPr>
      <w:r>
        <w:rPr>
          <w:noProof/>
        </w:rPr>
        <w:t>5</w:t>
      </w:r>
      <w:r>
        <w:rPr>
          <w:rFonts w:hint="eastAsia"/>
          <w:noProof/>
        </w:rPr>
        <w:t>－</w:t>
      </w:r>
      <w:r>
        <w:rPr>
          <w:noProof/>
        </w:rPr>
        <w:t>1</w:t>
      </w:r>
      <w:r>
        <w:rPr>
          <w:rFonts w:hint="eastAsia"/>
          <w:noProof/>
        </w:rPr>
        <w:t>－</w:t>
      </w:r>
      <w:r>
        <w:rPr>
          <w:noProof/>
        </w:rPr>
        <w:t>2</w:t>
      </w:r>
      <w:r>
        <w:rPr>
          <w:rFonts w:hint="eastAsia"/>
          <w:noProof/>
        </w:rPr>
        <w:t xml:space="preserve">　推計結果</w:t>
      </w:r>
      <w:r>
        <w:rPr>
          <w:noProof/>
        </w:rPr>
        <w:tab/>
      </w:r>
      <w:r>
        <w:rPr>
          <w:noProof/>
        </w:rPr>
        <w:fldChar w:fldCharType="begin"/>
      </w:r>
      <w:r>
        <w:rPr>
          <w:noProof/>
        </w:rPr>
        <w:instrText xml:space="preserve"> PAGEREF _Toc221603828 \h </w:instrText>
      </w:r>
      <w:r>
        <w:rPr>
          <w:noProof/>
        </w:rPr>
      </w:r>
      <w:r>
        <w:rPr>
          <w:noProof/>
        </w:rPr>
        <w:fldChar w:fldCharType="separate"/>
      </w:r>
      <w:r w:rsidR="0093127F">
        <w:rPr>
          <w:noProof/>
        </w:rPr>
        <w:t>11</w:t>
      </w:r>
      <w:r>
        <w:rPr>
          <w:noProof/>
        </w:rPr>
        <w:fldChar w:fldCharType="end"/>
      </w:r>
    </w:p>
    <w:p w14:paraId="1585E317" w14:textId="77777777" w:rsidR="00E96D25" w:rsidRDefault="00E96D25">
      <w:pPr>
        <w:pStyle w:val="31"/>
        <w:tabs>
          <w:tab w:val="right" w:leader="dot" w:pos="8494"/>
        </w:tabs>
        <w:rPr>
          <w:noProof/>
          <w:sz w:val="24"/>
          <w:szCs w:val="24"/>
        </w:rPr>
      </w:pPr>
      <w:r>
        <w:rPr>
          <w:noProof/>
        </w:rPr>
        <w:t>5</w:t>
      </w:r>
      <w:r>
        <w:rPr>
          <w:rFonts w:hint="eastAsia"/>
          <w:noProof/>
        </w:rPr>
        <w:t>－</w:t>
      </w:r>
      <w:r>
        <w:rPr>
          <w:noProof/>
        </w:rPr>
        <w:t>1</w:t>
      </w:r>
      <w:r>
        <w:rPr>
          <w:rFonts w:hint="eastAsia"/>
          <w:noProof/>
        </w:rPr>
        <w:t>－</w:t>
      </w:r>
      <w:r>
        <w:rPr>
          <w:noProof/>
        </w:rPr>
        <w:t>3</w:t>
      </w:r>
      <w:r>
        <w:rPr>
          <w:rFonts w:hint="eastAsia"/>
          <w:noProof/>
        </w:rPr>
        <w:t xml:space="preserve">　考察</w:t>
      </w:r>
      <w:r>
        <w:rPr>
          <w:noProof/>
        </w:rPr>
        <w:tab/>
      </w:r>
      <w:r>
        <w:rPr>
          <w:noProof/>
        </w:rPr>
        <w:fldChar w:fldCharType="begin"/>
      </w:r>
      <w:r>
        <w:rPr>
          <w:noProof/>
        </w:rPr>
        <w:instrText xml:space="preserve"> PAGEREF _Toc221603829 \h </w:instrText>
      </w:r>
      <w:r>
        <w:rPr>
          <w:noProof/>
        </w:rPr>
      </w:r>
      <w:r>
        <w:rPr>
          <w:noProof/>
        </w:rPr>
        <w:fldChar w:fldCharType="separate"/>
      </w:r>
      <w:r w:rsidR="0093127F">
        <w:rPr>
          <w:noProof/>
        </w:rPr>
        <w:t>11</w:t>
      </w:r>
      <w:r>
        <w:rPr>
          <w:noProof/>
        </w:rPr>
        <w:fldChar w:fldCharType="end"/>
      </w:r>
    </w:p>
    <w:p w14:paraId="4C659689" w14:textId="77777777" w:rsidR="00E96D25" w:rsidRDefault="00E96D25">
      <w:pPr>
        <w:pStyle w:val="31"/>
        <w:tabs>
          <w:tab w:val="right" w:leader="dot" w:pos="8494"/>
        </w:tabs>
        <w:rPr>
          <w:noProof/>
          <w:sz w:val="24"/>
          <w:szCs w:val="24"/>
        </w:rPr>
      </w:pPr>
      <w:r>
        <w:rPr>
          <w:noProof/>
        </w:rPr>
        <w:t>5</w:t>
      </w:r>
      <w:r>
        <w:rPr>
          <w:rFonts w:hint="eastAsia"/>
          <w:noProof/>
        </w:rPr>
        <w:t>－</w:t>
      </w:r>
      <w:r>
        <w:rPr>
          <w:noProof/>
        </w:rPr>
        <w:t>2</w:t>
      </w:r>
      <w:r>
        <w:rPr>
          <w:rFonts w:hint="eastAsia"/>
          <w:noProof/>
        </w:rPr>
        <w:t xml:space="preserve">　消費者余剰分析</w:t>
      </w:r>
      <w:r>
        <w:rPr>
          <w:noProof/>
        </w:rPr>
        <w:tab/>
      </w:r>
      <w:r>
        <w:rPr>
          <w:noProof/>
        </w:rPr>
        <w:fldChar w:fldCharType="begin"/>
      </w:r>
      <w:r>
        <w:rPr>
          <w:noProof/>
        </w:rPr>
        <w:instrText xml:space="preserve"> PAGEREF _Toc221603830 \h </w:instrText>
      </w:r>
      <w:r>
        <w:rPr>
          <w:noProof/>
        </w:rPr>
      </w:r>
      <w:r>
        <w:rPr>
          <w:noProof/>
        </w:rPr>
        <w:fldChar w:fldCharType="separate"/>
      </w:r>
      <w:r w:rsidR="0093127F">
        <w:rPr>
          <w:noProof/>
        </w:rPr>
        <w:t>11</w:t>
      </w:r>
      <w:r>
        <w:rPr>
          <w:noProof/>
        </w:rPr>
        <w:fldChar w:fldCharType="end"/>
      </w:r>
    </w:p>
    <w:p w14:paraId="704CF3E9" w14:textId="77777777" w:rsidR="00E96D25" w:rsidRDefault="00E96D25">
      <w:pPr>
        <w:pStyle w:val="21"/>
        <w:tabs>
          <w:tab w:val="right" w:leader="dot" w:pos="8494"/>
        </w:tabs>
        <w:rPr>
          <w:noProof/>
          <w:sz w:val="24"/>
          <w:szCs w:val="24"/>
        </w:rPr>
      </w:pPr>
      <w:r>
        <w:rPr>
          <w:noProof/>
        </w:rPr>
        <w:t>6</w:t>
      </w:r>
      <w:r>
        <w:rPr>
          <w:rFonts w:hint="eastAsia"/>
          <w:noProof/>
        </w:rPr>
        <w:t>章　生産者余剰分析</w:t>
      </w:r>
      <w:r>
        <w:rPr>
          <w:noProof/>
        </w:rPr>
        <w:tab/>
      </w:r>
      <w:r>
        <w:rPr>
          <w:noProof/>
        </w:rPr>
        <w:fldChar w:fldCharType="begin"/>
      </w:r>
      <w:r>
        <w:rPr>
          <w:noProof/>
        </w:rPr>
        <w:instrText xml:space="preserve"> PAGEREF _Toc221603831 \h </w:instrText>
      </w:r>
      <w:r>
        <w:rPr>
          <w:noProof/>
        </w:rPr>
      </w:r>
      <w:r>
        <w:rPr>
          <w:noProof/>
        </w:rPr>
        <w:fldChar w:fldCharType="separate"/>
      </w:r>
      <w:r w:rsidR="0093127F">
        <w:rPr>
          <w:noProof/>
        </w:rPr>
        <w:t>11</w:t>
      </w:r>
      <w:r>
        <w:rPr>
          <w:noProof/>
        </w:rPr>
        <w:fldChar w:fldCharType="end"/>
      </w:r>
    </w:p>
    <w:p w14:paraId="5336324C" w14:textId="77777777" w:rsidR="00E96D25" w:rsidRDefault="00E96D25">
      <w:pPr>
        <w:pStyle w:val="21"/>
        <w:tabs>
          <w:tab w:val="right" w:leader="dot" w:pos="8494"/>
        </w:tabs>
        <w:rPr>
          <w:noProof/>
          <w:sz w:val="24"/>
          <w:szCs w:val="24"/>
        </w:rPr>
      </w:pPr>
      <w:r>
        <w:rPr>
          <w:noProof/>
        </w:rPr>
        <w:t>7</w:t>
      </w:r>
      <w:r>
        <w:rPr>
          <w:rFonts w:hint="eastAsia"/>
          <w:noProof/>
        </w:rPr>
        <w:t>章　社会的余剰</w:t>
      </w:r>
      <w:r>
        <w:rPr>
          <w:noProof/>
        </w:rPr>
        <w:tab/>
      </w:r>
      <w:r>
        <w:rPr>
          <w:noProof/>
        </w:rPr>
        <w:fldChar w:fldCharType="begin"/>
      </w:r>
      <w:r>
        <w:rPr>
          <w:noProof/>
        </w:rPr>
        <w:instrText xml:space="preserve"> PAGEREF _Toc221603832 \h </w:instrText>
      </w:r>
      <w:r>
        <w:rPr>
          <w:noProof/>
        </w:rPr>
      </w:r>
      <w:r>
        <w:rPr>
          <w:noProof/>
        </w:rPr>
        <w:fldChar w:fldCharType="separate"/>
      </w:r>
      <w:r w:rsidR="0093127F">
        <w:rPr>
          <w:noProof/>
        </w:rPr>
        <w:t>12</w:t>
      </w:r>
      <w:r>
        <w:rPr>
          <w:noProof/>
        </w:rPr>
        <w:fldChar w:fldCharType="end"/>
      </w:r>
    </w:p>
    <w:p w14:paraId="613462CD" w14:textId="77777777" w:rsidR="00E96D25" w:rsidRDefault="00E96D25">
      <w:pPr>
        <w:pStyle w:val="21"/>
        <w:tabs>
          <w:tab w:val="right" w:leader="dot" w:pos="8494"/>
        </w:tabs>
        <w:rPr>
          <w:noProof/>
          <w:sz w:val="24"/>
          <w:szCs w:val="24"/>
        </w:rPr>
      </w:pPr>
      <w:r>
        <w:rPr>
          <w:noProof/>
        </w:rPr>
        <w:t>8</w:t>
      </w:r>
      <w:r>
        <w:rPr>
          <w:rFonts w:hint="eastAsia"/>
          <w:noProof/>
        </w:rPr>
        <w:t>章　多重債務者</w:t>
      </w:r>
      <w:r>
        <w:rPr>
          <w:noProof/>
        </w:rPr>
        <w:tab/>
      </w:r>
      <w:r>
        <w:rPr>
          <w:noProof/>
        </w:rPr>
        <w:fldChar w:fldCharType="begin"/>
      </w:r>
      <w:r>
        <w:rPr>
          <w:noProof/>
        </w:rPr>
        <w:instrText xml:space="preserve"> PAGEREF _Toc221603833 \h </w:instrText>
      </w:r>
      <w:r>
        <w:rPr>
          <w:noProof/>
        </w:rPr>
      </w:r>
      <w:r>
        <w:rPr>
          <w:noProof/>
        </w:rPr>
        <w:fldChar w:fldCharType="separate"/>
      </w:r>
      <w:r w:rsidR="0093127F">
        <w:rPr>
          <w:noProof/>
        </w:rPr>
        <w:t>21</w:t>
      </w:r>
      <w:r>
        <w:rPr>
          <w:noProof/>
        </w:rPr>
        <w:fldChar w:fldCharType="end"/>
      </w:r>
    </w:p>
    <w:p w14:paraId="31BF4078" w14:textId="77777777" w:rsidR="00E96D25" w:rsidRDefault="00E96D25">
      <w:pPr>
        <w:pStyle w:val="21"/>
        <w:tabs>
          <w:tab w:val="right" w:leader="dot" w:pos="8494"/>
        </w:tabs>
        <w:rPr>
          <w:noProof/>
          <w:sz w:val="24"/>
          <w:szCs w:val="24"/>
        </w:rPr>
      </w:pPr>
      <w:r>
        <w:rPr>
          <w:noProof/>
        </w:rPr>
        <w:t>9</w:t>
      </w:r>
      <w:r>
        <w:rPr>
          <w:rFonts w:hint="eastAsia"/>
          <w:noProof/>
        </w:rPr>
        <w:t>章　結論</w:t>
      </w:r>
      <w:r>
        <w:rPr>
          <w:noProof/>
        </w:rPr>
        <w:tab/>
      </w:r>
      <w:r>
        <w:rPr>
          <w:noProof/>
        </w:rPr>
        <w:fldChar w:fldCharType="begin"/>
      </w:r>
      <w:r>
        <w:rPr>
          <w:noProof/>
        </w:rPr>
        <w:instrText xml:space="preserve"> PAGEREF _Toc221603834 \h </w:instrText>
      </w:r>
      <w:r>
        <w:rPr>
          <w:noProof/>
        </w:rPr>
      </w:r>
      <w:r>
        <w:rPr>
          <w:noProof/>
        </w:rPr>
        <w:fldChar w:fldCharType="separate"/>
      </w:r>
      <w:r w:rsidR="0093127F">
        <w:rPr>
          <w:noProof/>
        </w:rPr>
        <w:t>13</w:t>
      </w:r>
      <w:r>
        <w:rPr>
          <w:noProof/>
        </w:rPr>
        <w:fldChar w:fldCharType="end"/>
      </w:r>
    </w:p>
    <w:p w14:paraId="111907F3" w14:textId="77777777" w:rsidR="00E96D25" w:rsidRDefault="00E96D25">
      <w:pPr>
        <w:pStyle w:val="21"/>
        <w:tabs>
          <w:tab w:val="right" w:leader="dot" w:pos="8494"/>
        </w:tabs>
        <w:rPr>
          <w:noProof/>
          <w:sz w:val="24"/>
          <w:szCs w:val="24"/>
        </w:rPr>
      </w:pPr>
      <w:r>
        <w:rPr>
          <w:rFonts w:hint="eastAsia"/>
          <w:noProof/>
        </w:rPr>
        <w:t>参考文献</w:t>
      </w:r>
      <w:r>
        <w:rPr>
          <w:noProof/>
        </w:rPr>
        <w:tab/>
      </w:r>
      <w:r>
        <w:rPr>
          <w:noProof/>
        </w:rPr>
        <w:fldChar w:fldCharType="begin"/>
      </w:r>
      <w:r>
        <w:rPr>
          <w:noProof/>
        </w:rPr>
        <w:instrText xml:space="preserve"> PAGEREF _Toc221603835 \h </w:instrText>
      </w:r>
      <w:r>
        <w:rPr>
          <w:noProof/>
        </w:rPr>
      </w:r>
      <w:r>
        <w:rPr>
          <w:noProof/>
        </w:rPr>
        <w:fldChar w:fldCharType="separate"/>
      </w:r>
      <w:r w:rsidR="0093127F">
        <w:rPr>
          <w:noProof/>
        </w:rPr>
        <w:t>14</w:t>
      </w:r>
      <w:r>
        <w:rPr>
          <w:noProof/>
        </w:rPr>
        <w:fldChar w:fldCharType="end"/>
      </w:r>
    </w:p>
    <w:p w14:paraId="0852AC47" w14:textId="77777777" w:rsidR="00E96D25" w:rsidRDefault="00E96D25">
      <w:pPr>
        <w:pStyle w:val="21"/>
        <w:tabs>
          <w:tab w:val="right" w:leader="dot" w:pos="8494"/>
        </w:tabs>
        <w:rPr>
          <w:noProof/>
          <w:sz w:val="24"/>
          <w:szCs w:val="24"/>
        </w:rPr>
      </w:pPr>
      <w:r>
        <w:rPr>
          <w:rFonts w:hint="eastAsia"/>
          <w:noProof/>
        </w:rPr>
        <w:t>参考資料</w:t>
      </w:r>
      <w:r>
        <w:rPr>
          <w:noProof/>
        </w:rPr>
        <w:tab/>
      </w:r>
      <w:r>
        <w:rPr>
          <w:noProof/>
        </w:rPr>
        <w:fldChar w:fldCharType="begin"/>
      </w:r>
      <w:r>
        <w:rPr>
          <w:noProof/>
        </w:rPr>
        <w:instrText xml:space="preserve"> PAGEREF _Toc221603836 \h </w:instrText>
      </w:r>
      <w:r>
        <w:rPr>
          <w:noProof/>
        </w:rPr>
      </w:r>
      <w:r>
        <w:rPr>
          <w:noProof/>
        </w:rPr>
        <w:fldChar w:fldCharType="separate"/>
      </w:r>
      <w:r w:rsidR="0093127F">
        <w:rPr>
          <w:rFonts w:hint="eastAsia"/>
          <w:b/>
          <w:bCs/>
          <w:noProof/>
        </w:rPr>
        <w:t>エラー</w:t>
      </w:r>
      <w:r w:rsidR="0093127F">
        <w:rPr>
          <w:rFonts w:hint="eastAsia"/>
          <w:b/>
          <w:bCs/>
          <w:noProof/>
        </w:rPr>
        <w:t xml:space="preserve">! </w:t>
      </w:r>
      <w:r w:rsidR="0093127F">
        <w:rPr>
          <w:rFonts w:hint="eastAsia"/>
          <w:b/>
          <w:bCs/>
          <w:noProof/>
        </w:rPr>
        <w:t>ブックマークが定義されていません。</w:t>
      </w:r>
      <w:r>
        <w:rPr>
          <w:noProof/>
        </w:rPr>
        <w:fldChar w:fldCharType="end"/>
      </w:r>
    </w:p>
    <w:p w14:paraId="21DB32F4" w14:textId="4F0CCF09" w:rsidR="00E96D25" w:rsidRDefault="00E96D25" w:rsidP="00E96D25">
      <w:r>
        <w:fldChar w:fldCharType="end"/>
      </w:r>
    </w:p>
    <w:p w14:paraId="4833FC72" w14:textId="77777777" w:rsidR="00E96D25" w:rsidRDefault="00E96D25" w:rsidP="00961B4B">
      <w:pPr>
        <w:pStyle w:val="11"/>
      </w:pPr>
    </w:p>
    <w:p w14:paraId="3BEFAC7D" w14:textId="77777777" w:rsidR="00E96D25" w:rsidRPr="00E96D25" w:rsidRDefault="00E96D25" w:rsidP="00E96D25"/>
    <w:p w14:paraId="13E48EE0" w14:textId="77777777" w:rsidR="00DF3841" w:rsidRPr="00E96D25" w:rsidRDefault="00DF3841" w:rsidP="00E96D25">
      <w:pPr>
        <w:pStyle w:val="2"/>
      </w:pPr>
      <w:bookmarkStart w:id="0" w:name="_Toc221603805"/>
      <w:r w:rsidRPr="00E96D25">
        <w:rPr>
          <w:rFonts w:hint="eastAsia"/>
        </w:rPr>
        <w:lastRenderedPageBreak/>
        <w:t>序章</w:t>
      </w:r>
      <w:bookmarkEnd w:id="0"/>
    </w:p>
    <w:p w14:paraId="79B5761A" w14:textId="5F51565A" w:rsidR="00FE0438" w:rsidRDefault="00E96D25" w:rsidP="003862DA">
      <w:pPr>
        <w:ind w:firstLineChars="100" w:firstLine="210"/>
      </w:pPr>
      <w:r w:rsidRPr="003C1162">
        <w:rPr>
          <w:szCs w:val="21"/>
        </w:rPr>
        <w:t>2006</w:t>
      </w:r>
      <w:r w:rsidRPr="003C1162">
        <w:rPr>
          <w:rFonts w:hint="eastAsia"/>
          <w:szCs w:val="21"/>
        </w:rPr>
        <w:t>年</w:t>
      </w:r>
      <w:r w:rsidRPr="003C1162">
        <w:rPr>
          <w:szCs w:val="21"/>
        </w:rPr>
        <w:t>1</w:t>
      </w:r>
      <w:r w:rsidRPr="003C1162">
        <w:rPr>
          <w:rFonts w:hint="eastAsia"/>
          <w:szCs w:val="21"/>
        </w:rPr>
        <w:t>月</w:t>
      </w:r>
      <w:r w:rsidRPr="003C1162">
        <w:rPr>
          <w:szCs w:val="21"/>
        </w:rPr>
        <w:t>13</w:t>
      </w:r>
      <w:r w:rsidRPr="003C1162">
        <w:rPr>
          <w:rFonts w:hint="eastAsia"/>
          <w:szCs w:val="21"/>
        </w:rPr>
        <w:t>日に下された最高裁判決</w:t>
      </w:r>
      <w:r>
        <w:rPr>
          <w:rFonts w:hint="eastAsia"/>
          <w:szCs w:val="21"/>
        </w:rPr>
        <w:t>によってそれまでの慣例であった「みなし弁済」規定によるグレーゾーン金利帯による貸出が無効となり、判決を後追いする形で改正された</w:t>
      </w:r>
      <w:r w:rsidRPr="003C1162">
        <w:rPr>
          <w:rFonts w:hint="eastAsia"/>
          <w:szCs w:val="21"/>
        </w:rPr>
        <w:t>貸金業法は段階的な施行を経て、</w:t>
      </w:r>
      <w:r w:rsidRPr="003C1162">
        <w:rPr>
          <w:szCs w:val="21"/>
        </w:rPr>
        <w:t>2010</w:t>
      </w:r>
      <w:r w:rsidRPr="003C1162">
        <w:rPr>
          <w:rFonts w:hint="eastAsia"/>
          <w:szCs w:val="21"/>
        </w:rPr>
        <w:t>年</w:t>
      </w:r>
      <w:r w:rsidRPr="003C1162">
        <w:rPr>
          <w:szCs w:val="21"/>
        </w:rPr>
        <w:t>6</w:t>
      </w:r>
      <w:r w:rsidRPr="003C1162">
        <w:rPr>
          <w:rFonts w:hint="eastAsia"/>
          <w:szCs w:val="21"/>
        </w:rPr>
        <w:t>月</w:t>
      </w:r>
      <w:r w:rsidRPr="003C1162">
        <w:rPr>
          <w:rFonts w:hint="eastAsia"/>
          <w:szCs w:val="21"/>
        </w:rPr>
        <w:t>18</w:t>
      </w:r>
      <w:r w:rsidRPr="003C1162">
        <w:rPr>
          <w:rFonts w:hint="eastAsia"/>
          <w:szCs w:val="21"/>
        </w:rPr>
        <w:t>日に全面的に施行された。</w:t>
      </w:r>
      <w:r>
        <w:rPr>
          <w:rFonts w:hint="eastAsia"/>
          <w:szCs w:val="21"/>
        </w:rPr>
        <w:t>判決から</w:t>
      </w:r>
      <w:r>
        <w:rPr>
          <w:szCs w:val="21"/>
        </w:rPr>
        <w:t>7</w:t>
      </w:r>
      <w:r>
        <w:rPr>
          <w:rFonts w:hint="eastAsia"/>
          <w:szCs w:val="21"/>
        </w:rPr>
        <w:t>年を経た現在、消費者金融市場の形は大きく変化しており、かつまだ影響が収束した様子は伺えない。本稿の目的は、最高裁判決および貸金業法改正による規制強化がどのような影響を与えたのか時系列分析手法を用いて実証し、その結果を用いて社会的余剰がどのように変化したのか明らかにすることで最高裁判決および法改正</w:t>
      </w:r>
      <w:r w:rsidR="00FE0438">
        <w:rPr>
          <w:rFonts w:hint="eastAsia"/>
          <w:szCs w:val="21"/>
        </w:rPr>
        <w:t>による余剰の変化を分析する</w:t>
      </w:r>
      <w:r>
        <w:rPr>
          <w:rFonts w:hint="eastAsia"/>
          <w:szCs w:val="21"/>
        </w:rPr>
        <w:t>ことである。</w:t>
      </w:r>
      <w:r w:rsidR="00FE0438">
        <w:rPr>
          <w:rFonts w:hint="eastAsia"/>
        </w:rPr>
        <w:t>2</w:t>
      </w:r>
      <w:r w:rsidR="00FE0438">
        <w:rPr>
          <w:rFonts w:hint="eastAsia"/>
        </w:rPr>
        <w:t>章では消費者金融市場及び消費者金融会社の大手</w:t>
      </w:r>
      <w:r w:rsidR="00FE0438">
        <w:rPr>
          <w:rFonts w:hint="eastAsia"/>
        </w:rPr>
        <w:t>5</w:t>
      </w:r>
      <w:r w:rsidR="00FE0438">
        <w:rPr>
          <w:rFonts w:hint="eastAsia"/>
        </w:rPr>
        <w:t>社のデータを概観することで、最高裁判決及び貸金業法改正以降、つまり</w:t>
      </w:r>
      <w:r w:rsidR="00FE0438">
        <w:rPr>
          <w:rFonts w:hint="eastAsia"/>
        </w:rPr>
        <w:t>2006</w:t>
      </w:r>
      <w:r w:rsidR="00FE0438">
        <w:rPr>
          <w:rFonts w:hint="eastAsia"/>
        </w:rPr>
        <w:t>年以降の消費者金融市場において外的要因による構造変化が存在することが明らかになった。</w:t>
      </w:r>
      <w:r w:rsidR="00FE0438">
        <w:rPr>
          <w:rFonts w:hint="eastAsia"/>
        </w:rPr>
        <w:t>3</w:t>
      </w:r>
      <w:r w:rsidR="00FE0438">
        <w:rPr>
          <w:rFonts w:hint="eastAsia"/>
        </w:rPr>
        <w:t>章では消費者金融市場における上限金利規制や貸金業法改正の経済効果についての先行研究に言及しながら、本稿の実証分析が余剰分析という手法でこの消費者金融市場の問題を分析することが既存の研究には見られないということを確認した。</w:t>
      </w:r>
      <w:r w:rsidR="00FE0438">
        <w:rPr>
          <w:rFonts w:hint="eastAsia"/>
        </w:rPr>
        <w:t>4</w:t>
      </w:r>
      <w:r w:rsidR="00FE0438">
        <w:rPr>
          <w:rFonts w:hint="eastAsia"/>
        </w:rPr>
        <w:t>章では、</w:t>
      </w:r>
      <w:r w:rsidR="00FE0438">
        <w:rPr>
          <w:rFonts w:hint="eastAsia"/>
        </w:rPr>
        <w:t>1</w:t>
      </w:r>
      <w:r w:rsidR="00FE0438">
        <w:rPr>
          <w:rFonts w:hint="eastAsia"/>
        </w:rPr>
        <w:t>章で確認した構造変化が真に消費者金融市場に固有であることを証明するために消費者信用市場との比較及びカードローン市場の分析、そして消費者金融市場の実証分析を行った。</w:t>
      </w:r>
      <w:r w:rsidR="00FE0438">
        <w:rPr>
          <w:rFonts w:hint="eastAsia"/>
        </w:rPr>
        <w:t>5</w:t>
      </w:r>
      <w:r w:rsidR="00FE0438">
        <w:rPr>
          <w:rFonts w:hint="eastAsia"/>
        </w:rPr>
        <w:t>章では</w:t>
      </w:r>
      <w:r w:rsidR="00FE0438">
        <w:rPr>
          <w:rFonts w:hint="eastAsia"/>
        </w:rPr>
        <w:t>81</w:t>
      </w:r>
      <w:r w:rsidR="00FE0438">
        <w:rPr>
          <w:rFonts w:hint="eastAsia"/>
        </w:rPr>
        <w:t>年から</w:t>
      </w:r>
      <w:r w:rsidR="00FE0438">
        <w:rPr>
          <w:rFonts w:hint="eastAsia"/>
        </w:rPr>
        <w:t>2005</w:t>
      </w:r>
      <w:r w:rsidR="00FE0438">
        <w:rPr>
          <w:rFonts w:hint="eastAsia"/>
        </w:rPr>
        <w:t>年までのデータを使うことで消費者金融市場の金利弾力性を求め、それをもとに</w:t>
      </w:r>
      <w:r w:rsidR="00FE0438">
        <w:rPr>
          <w:rFonts w:hint="eastAsia"/>
        </w:rPr>
        <w:t>2006</w:t>
      </w:r>
      <w:r w:rsidR="00FE0438">
        <w:rPr>
          <w:rFonts w:hint="eastAsia"/>
        </w:rPr>
        <w:t>年以降の消費者金融市場の消費者余剰の変化を推計した。</w:t>
      </w:r>
      <w:r w:rsidR="00FE0438">
        <w:rPr>
          <w:rFonts w:hint="eastAsia"/>
        </w:rPr>
        <w:t>6</w:t>
      </w:r>
      <w:r w:rsidR="00FE0438">
        <w:rPr>
          <w:rFonts w:hint="eastAsia"/>
        </w:rPr>
        <w:t>章では総収入から総可変費用を引くというアプローチからの生産者余剰を求めるために、消費者金融大手</w:t>
      </w:r>
      <w:r w:rsidR="00FE0438">
        <w:rPr>
          <w:rFonts w:hint="eastAsia"/>
        </w:rPr>
        <w:t>5</w:t>
      </w:r>
      <w:r w:rsidR="00FE0438">
        <w:rPr>
          <w:rFonts w:hint="eastAsia"/>
        </w:rPr>
        <w:t>社の有価証券報告書を調査し、そのデータを使って生産者余剰を推計した。</w:t>
      </w:r>
      <w:r w:rsidR="00FE0438">
        <w:rPr>
          <w:rFonts w:hint="eastAsia"/>
        </w:rPr>
        <w:t>7</w:t>
      </w:r>
      <w:r w:rsidR="00FE0438">
        <w:rPr>
          <w:rFonts w:hint="eastAsia"/>
        </w:rPr>
        <w:t>章では、</w:t>
      </w:r>
      <w:r w:rsidR="00FE0438">
        <w:rPr>
          <w:rFonts w:hint="eastAsia"/>
        </w:rPr>
        <w:t>5</w:t>
      </w:r>
      <w:r w:rsidR="00FE0438">
        <w:rPr>
          <w:rFonts w:hint="eastAsia"/>
        </w:rPr>
        <w:t>章及び</w:t>
      </w:r>
      <w:r w:rsidR="00FE0438">
        <w:rPr>
          <w:rFonts w:hint="eastAsia"/>
        </w:rPr>
        <w:t>6</w:t>
      </w:r>
      <w:r w:rsidR="00FE0438">
        <w:rPr>
          <w:rFonts w:hint="eastAsia"/>
        </w:rPr>
        <w:t>章の成果を使い、</w:t>
      </w:r>
      <w:r w:rsidR="00FE0438">
        <w:rPr>
          <w:rFonts w:hint="eastAsia"/>
        </w:rPr>
        <w:t>2006</w:t>
      </w:r>
      <w:r w:rsidR="00FE0438">
        <w:rPr>
          <w:rFonts w:hint="eastAsia"/>
        </w:rPr>
        <w:t>年以降の消費者金融市場の社会的余剰の変化を求めた。</w:t>
      </w:r>
      <w:r w:rsidR="00FE0438">
        <w:rPr>
          <w:rFonts w:hint="eastAsia"/>
        </w:rPr>
        <w:t>8</w:t>
      </w:r>
      <w:r w:rsidR="00FE0438">
        <w:rPr>
          <w:rFonts w:hint="eastAsia"/>
        </w:rPr>
        <w:t>章では、データの制約について言及しつつも、最高裁判決及び貸金業法改正が多重債務問題を悪化させたとは言い難い一方で、その解決に寄与した可能性について触れた。</w:t>
      </w:r>
      <w:r w:rsidR="00FE0438">
        <w:rPr>
          <w:rFonts w:hint="eastAsia"/>
        </w:rPr>
        <w:t>9</w:t>
      </w:r>
      <w:r w:rsidR="00FE0438">
        <w:rPr>
          <w:rFonts w:hint="eastAsia"/>
        </w:rPr>
        <w:t>章では今までの分析より、最高裁判決及び貸金業法改正が経済的規制という文脈からは正当化されない一方で社会的規制という文脈から正当化できるということとこの余剰分析が最高裁判決及び貸金業法改正の是非を論じるにあたって重要な視座を与えたと結論付けた。</w:t>
      </w:r>
    </w:p>
    <w:p w14:paraId="11EE9ACB" w14:textId="09B506A9" w:rsidR="00E96D25" w:rsidRPr="00FE0438" w:rsidRDefault="00E96D25" w:rsidP="00E96D25">
      <w:pPr>
        <w:rPr>
          <w:szCs w:val="21"/>
        </w:rPr>
      </w:pPr>
    </w:p>
    <w:p w14:paraId="4249F2D4" w14:textId="77777777" w:rsidR="00643207" w:rsidRDefault="00643207"/>
    <w:p w14:paraId="29F5857C" w14:textId="77777777" w:rsidR="00E06D8F" w:rsidRDefault="00643207" w:rsidP="00E96D25">
      <w:pPr>
        <w:pStyle w:val="2"/>
      </w:pPr>
      <w:bookmarkStart w:id="1" w:name="_Toc221603806"/>
      <w:r>
        <w:rPr>
          <w:rFonts w:hint="eastAsia"/>
        </w:rPr>
        <w:t>2</w:t>
      </w:r>
      <w:r>
        <w:rPr>
          <w:rFonts w:hint="eastAsia"/>
        </w:rPr>
        <w:t xml:space="preserve">章　</w:t>
      </w:r>
      <w:r w:rsidR="00E06D8F">
        <w:rPr>
          <w:rFonts w:hint="eastAsia"/>
        </w:rPr>
        <w:t>消費者金融市場の概観</w:t>
      </w:r>
      <w:bookmarkEnd w:id="1"/>
    </w:p>
    <w:p w14:paraId="4B0EB10D" w14:textId="69ADE234" w:rsidR="00E06D8F" w:rsidRDefault="00E06D8F" w:rsidP="00E06D8F">
      <w:pPr>
        <w:rPr>
          <w:sz w:val="22"/>
        </w:rPr>
      </w:pPr>
      <w:r w:rsidRPr="00522F19">
        <w:rPr>
          <w:rFonts w:hint="eastAsia"/>
          <w:sz w:val="22"/>
        </w:rPr>
        <w:t xml:space="preserve">　本章では</w:t>
      </w:r>
      <w:r w:rsidR="00855F1D">
        <w:rPr>
          <w:rFonts w:hint="eastAsia"/>
          <w:sz w:val="22"/>
        </w:rPr>
        <w:t>最高裁判決及び</w:t>
      </w:r>
      <w:r w:rsidRPr="00522F19">
        <w:rPr>
          <w:rFonts w:hint="eastAsia"/>
          <w:sz w:val="22"/>
        </w:rPr>
        <w:t>貸金業法改正以後の消費者金融市場がどのように推移してきたのか</w:t>
      </w:r>
      <w:r w:rsidR="00643207">
        <w:rPr>
          <w:rFonts w:hint="eastAsia"/>
          <w:sz w:val="22"/>
        </w:rPr>
        <w:t>を</w:t>
      </w:r>
      <w:r w:rsidRPr="00522F19">
        <w:rPr>
          <w:rFonts w:hint="eastAsia"/>
          <w:sz w:val="22"/>
        </w:rPr>
        <w:t>貸出残高と平均約定金利に注目して概観していく。まず市場全体の貸出残高については、</w:t>
      </w:r>
      <w:r w:rsidR="00643207">
        <w:rPr>
          <w:rFonts w:hint="eastAsia"/>
          <w:sz w:val="22"/>
        </w:rPr>
        <w:t>その開始から</w:t>
      </w:r>
      <w:r w:rsidRPr="00522F19">
        <w:rPr>
          <w:rFonts w:hint="eastAsia"/>
          <w:sz w:val="22"/>
        </w:rPr>
        <w:t>逓増していたが</w:t>
      </w:r>
      <w:r w:rsidRPr="00522F19">
        <w:rPr>
          <w:sz w:val="22"/>
        </w:rPr>
        <w:t>2002</w:t>
      </w:r>
      <w:r w:rsidRPr="00522F19">
        <w:rPr>
          <w:rFonts w:hint="eastAsia"/>
          <w:sz w:val="22"/>
        </w:rPr>
        <w:t>年に</w:t>
      </w:r>
      <w:r w:rsidRPr="00522F19">
        <w:rPr>
          <w:sz w:val="22"/>
        </w:rPr>
        <w:t>10</w:t>
      </w:r>
      <w:r w:rsidRPr="00522F19">
        <w:rPr>
          <w:rFonts w:hint="eastAsia"/>
          <w:sz w:val="22"/>
        </w:rPr>
        <w:t>兆円を超え大きな変化がなく</w:t>
      </w:r>
      <w:r w:rsidRPr="00522F19">
        <w:rPr>
          <w:sz w:val="22"/>
        </w:rPr>
        <w:t>2005</w:t>
      </w:r>
      <w:r w:rsidRPr="00522F19">
        <w:rPr>
          <w:rFonts w:hint="eastAsia"/>
          <w:sz w:val="22"/>
        </w:rPr>
        <w:t>年までほぼ同量の貸付残高があった</w:t>
      </w:r>
      <w:r w:rsidR="00901E17">
        <w:rPr>
          <w:rFonts w:hint="eastAsia"/>
          <w:sz w:val="22"/>
        </w:rPr>
        <w:t>（図</w:t>
      </w:r>
      <w:r w:rsidR="007C2ACC">
        <w:rPr>
          <w:sz w:val="22"/>
        </w:rPr>
        <w:t>2</w:t>
      </w:r>
      <w:r w:rsidR="00901E17">
        <w:rPr>
          <w:sz w:val="22"/>
        </w:rPr>
        <w:t>-1</w:t>
      </w:r>
      <w:r w:rsidR="00901E17">
        <w:rPr>
          <w:rFonts w:hint="eastAsia"/>
          <w:sz w:val="22"/>
        </w:rPr>
        <w:t>参照）</w:t>
      </w:r>
      <w:r w:rsidRPr="00522F19">
        <w:rPr>
          <w:rFonts w:hint="eastAsia"/>
          <w:sz w:val="22"/>
        </w:rPr>
        <w:t>。しかし</w:t>
      </w:r>
      <w:r w:rsidRPr="00522F19">
        <w:rPr>
          <w:sz w:val="22"/>
        </w:rPr>
        <w:t>2006</w:t>
      </w:r>
      <w:r w:rsidRPr="00522F19">
        <w:rPr>
          <w:rFonts w:hint="eastAsia"/>
          <w:sz w:val="22"/>
        </w:rPr>
        <w:t>年から急激に減少し始め、</w:t>
      </w:r>
      <w:r w:rsidRPr="00522F19">
        <w:rPr>
          <w:sz w:val="22"/>
        </w:rPr>
        <w:t>2010</w:t>
      </w:r>
      <w:r w:rsidRPr="00522F19">
        <w:rPr>
          <w:rFonts w:hint="eastAsia"/>
          <w:sz w:val="22"/>
        </w:rPr>
        <w:t>年には４兆円と最盛期の４割まで落ち込んだ。</w:t>
      </w:r>
      <w:r w:rsidR="00DD7EF3">
        <w:rPr>
          <w:rFonts w:hint="eastAsia"/>
          <w:sz w:val="22"/>
        </w:rPr>
        <w:t>大手</w:t>
      </w:r>
      <w:r w:rsidR="00DD7EF3">
        <w:rPr>
          <w:rFonts w:hint="eastAsia"/>
          <w:sz w:val="22"/>
        </w:rPr>
        <w:t>5</w:t>
      </w:r>
      <w:r w:rsidRPr="00522F19">
        <w:rPr>
          <w:rFonts w:hint="eastAsia"/>
          <w:sz w:val="22"/>
        </w:rPr>
        <w:t>社（アコム、アイフル、武富士、プロミス、三洋信販）の貸付残高も同様に、</w:t>
      </w:r>
      <w:r w:rsidRPr="00522F19">
        <w:rPr>
          <w:sz w:val="22"/>
        </w:rPr>
        <w:t>2002</w:t>
      </w:r>
      <w:r w:rsidRPr="00522F19">
        <w:rPr>
          <w:rFonts w:hint="eastAsia"/>
          <w:sz w:val="22"/>
        </w:rPr>
        <w:t>年頃から</w:t>
      </w:r>
      <w:r w:rsidRPr="00522F19">
        <w:rPr>
          <w:sz w:val="22"/>
        </w:rPr>
        <w:t>7</w:t>
      </w:r>
      <w:r w:rsidRPr="00522F19">
        <w:rPr>
          <w:rFonts w:hint="eastAsia"/>
          <w:sz w:val="22"/>
        </w:rPr>
        <w:t>兆円前後で頭打ちとなり改正直前の</w:t>
      </w:r>
      <w:r w:rsidRPr="00522F19">
        <w:rPr>
          <w:sz w:val="22"/>
        </w:rPr>
        <w:t>2005</w:t>
      </w:r>
      <w:r w:rsidRPr="00522F19">
        <w:rPr>
          <w:rFonts w:hint="eastAsia"/>
          <w:sz w:val="22"/>
        </w:rPr>
        <w:t>年</w:t>
      </w:r>
      <w:r w:rsidRPr="00522F19">
        <w:rPr>
          <w:sz w:val="22"/>
        </w:rPr>
        <w:t>9</w:t>
      </w:r>
      <w:r w:rsidRPr="00522F19">
        <w:rPr>
          <w:rFonts w:hint="eastAsia"/>
          <w:sz w:val="22"/>
        </w:rPr>
        <w:t>月にピークを迎え</w:t>
      </w:r>
      <w:r>
        <w:rPr>
          <w:rFonts w:hint="eastAsia"/>
          <w:sz w:val="22"/>
        </w:rPr>
        <w:t>た。しかしその</w:t>
      </w:r>
      <w:r w:rsidRPr="00522F19">
        <w:rPr>
          <w:rFonts w:hint="eastAsia"/>
          <w:sz w:val="22"/>
        </w:rPr>
        <w:t>直後から減少を始め</w:t>
      </w:r>
      <w:r>
        <w:rPr>
          <w:rFonts w:hint="eastAsia"/>
          <w:sz w:val="22"/>
        </w:rPr>
        <w:t>、</w:t>
      </w:r>
      <w:r>
        <w:rPr>
          <w:sz w:val="22"/>
        </w:rPr>
        <w:t>2010</w:t>
      </w:r>
      <w:r>
        <w:rPr>
          <w:rFonts w:hint="eastAsia"/>
          <w:sz w:val="22"/>
        </w:rPr>
        <w:t>年の武富士による会社更生法の適用および三洋信販のプロミスへの吸収合併の影響もあり、</w:t>
      </w:r>
      <w:r w:rsidRPr="00522F19">
        <w:rPr>
          <w:sz w:val="22"/>
        </w:rPr>
        <w:t>2012</w:t>
      </w:r>
      <w:r w:rsidRPr="00522F19">
        <w:rPr>
          <w:rFonts w:hint="eastAsia"/>
          <w:sz w:val="22"/>
        </w:rPr>
        <w:t>年</w:t>
      </w:r>
      <w:r w:rsidRPr="00522F19">
        <w:rPr>
          <w:sz w:val="22"/>
        </w:rPr>
        <w:t>9</w:t>
      </w:r>
      <w:r w:rsidRPr="00522F19">
        <w:rPr>
          <w:rFonts w:hint="eastAsia"/>
          <w:sz w:val="22"/>
        </w:rPr>
        <w:t>月には</w:t>
      </w:r>
      <w:r w:rsidRPr="00522F19">
        <w:rPr>
          <w:sz w:val="22"/>
        </w:rPr>
        <w:t>2</w:t>
      </w:r>
      <w:r w:rsidRPr="00522F19">
        <w:rPr>
          <w:rFonts w:hint="eastAsia"/>
          <w:sz w:val="22"/>
        </w:rPr>
        <w:t>兆円</w:t>
      </w:r>
      <w:r>
        <w:rPr>
          <w:rFonts w:hint="eastAsia"/>
          <w:sz w:val="22"/>
        </w:rPr>
        <w:t>減少し、</w:t>
      </w:r>
      <w:r>
        <w:rPr>
          <w:rFonts w:hint="eastAsia"/>
          <w:sz w:val="22"/>
        </w:rPr>
        <w:lastRenderedPageBreak/>
        <w:t>ピーク時の</w:t>
      </w:r>
      <w:r w:rsidR="00DD7EF3">
        <w:rPr>
          <w:rFonts w:hint="eastAsia"/>
          <w:sz w:val="22"/>
        </w:rPr>
        <w:t>約</w:t>
      </w:r>
      <w:r w:rsidR="00DD7EF3">
        <w:rPr>
          <w:rFonts w:hint="eastAsia"/>
          <w:sz w:val="22"/>
        </w:rPr>
        <w:t>4</w:t>
      </w:r>
      <w:r w:rsidRPr="00522F19">
        <w:rPr>
          <w:rFonts w:hint="eastAsia"/>
          <w:sz w:val="22"/>
        </w:rPr>
        <w:t>分の一</w:t>
      </w:r>
      <w:r>
        <w:rPr>
          <w:rFonts w:hint="eastAsia"/>
          <w:sz w:val="22"/>
        </w:rPr>
        <w:t>となった</w:t>
      </w:r>
      <w:r w:rsidRPr="00522F19">
        <w:rPr>
          <w:rFonts w:hint="eastAsia"/>
          <w:sz w:val="22"/>
        </w:rPr>
        <w:t>。</w:t>
      </w:r>
      <w:r w:rsidR="00DD7EF3">
        <w:rPr>
          <w:rFonts w:hint="eastAsia"/>
          <w:sz w:val="22"/>
        </w:rPr>
        <w:t>大手</w:t>
      </w:r>
      <w:r w:rsidR="00DD7EF3">
        <w:rPr>
          <w:rFonts w:hint="eastAsia"/>
          <w:sz w:val="22"/>
        </w:rPr>
        <w:t>5</w:t>
      </w:r>
      <w:r>
        <w:rPr>
          <w:rFonts w:hint="eastAsia"/>
          <w:sz w:val="22"/>
        </w:rPr>
        <w:t>社の消費者金融全体に占める割合は判決以前には</w:t>
      </w:r>
      <w:r>
        <w:rPr>
          <w:rFonts w:hint="eastAsia"/>
          <w:sz w:val="22"/>
        </w:rPr>
        <w:t>60</w:t>
      </w:r>
      <w:r w:rsidR="00DD7EF3">
        <w:rPr>
          <w:rFonts w:hint="eastAsia"/>
          <w:sz w:val="22"/>
        </w:rPr>
        <w:t>%</w:t>
      </w:r>
      <w:r>
        <w:rPr>
          <w:rFonts w:hint="eastAsia"/>
          <w:sz w:val="22"/>
        </w:rPr>
        <w:t>から</w:t>
      </w:r>
      <w:r>
        <w:rPr>
          <w:rFonts w:hint="eastAsia"/>
          <w:sz w:val="22"/>
        </w:rPr>
        <w:t>70</w:t>
      </w:r>
      <w:r w:rsidR="00DD7EF3">
        <w:rPr>
          <w:sz w:val="22"/>
        </w:rPr>
        <w:t>%</w:t>
      </w:r>
      <w:r>
        <w:rPr>
          <w:rFonts w:hint="eastAsia"/>
          <w:sz w:val="22"/>
        </w:rPr>
        <w:t>前後で推移していたが、判決以後は急激に上昇しはじめ</w:t>
      </w:r>
      <w:r>
        <w:rPr>
          <w:sz w:val="22"/>
        </w:rPr>
        <w:t>2010</w:t>
      </w:r>
      <w:r>
        <w:rPr>
          <w:rFonts w:hint="eastAsia"/>
          <w:sz w:val="22"/>
        </w:rPr>
        <w:t>年には</w:t>
      </w:r>
      <w:r>
        <w:rPr>
          <w:sz w:val="22"/>
        </w:rPr>
        <w:t>95.8%</w:t>
      </w:r>
      <w:r>
        <w:rPr>
          <w:rFonts w:hint="eastAsia"/>
          <w:sz w:val="22"/>
        </w:rPr>
        <w:t>となっている。以上のことは判決によるグレーゾーンの撤廃が消費者金融会社大手よりも中小規模企業により早く致命的な打撃を与え、判決以後に消費者金融市場の寡占化が進んでいることを示唆している</w:t>
      </w:r>
      <w:r w:rsidR="00855F1D">
        <w:rPr>
          <w:rStyle w:val="af"/>
          <w:sz w:val="22"/>
        </w:rPr>
        <w:footnoteReference w:id="1"/>
      </w:r>
      <w:r>
        <w:rPr>
          <w:rFonts w:hint="eastAsia"/>
          <w:sz w:val="22"/>
        </w:rPr>
        <w:t>。</w:t>
      </w:r>
    </w:p>
    <w:p w14:paraId="0DAB12BF" w14:textId="7D68CF2D" w:rsidR="00E06D8F" w:rsidRDefault="001736B7" w:rsidP="00E06D8F">
      <w:pPr>
        <w:rPr>
          <w:sz w:val="22"/>
        </w:rPr>
      </w:pPr>
      <w:r>
        <w:rPr>
          <w:rFonts w:hint="eastAsia"/>
          <w:sz w:val="22"/>
        </w:rPr>
        <w:t xml:space="preserve">　次に、平均約定金利については、大手及び</w:t>
      </w:r>
      <w:r w:rsidR="00E06D8F">
        <w:rPr>
          <w:rFonts w:hint="eastAsia"/>
          <w:sz w:val="22"/>
        </w:rPr>
        <w:t>全体ともに</w:t>
      </w:r>
      <w:r w:rsidR="00E06D8F">
        <w:rPr>
          <w:sz w:val="22"/>
        </w:rPr>
        <w:t>1998</w:t>
      </w:r>
      <w:r w:rsidR="00E06D8F">
        <w:rPr>
          <w:rFonts w:hint="eastAsia"/>
          <w:sz w:val="22"/>
        </w:rPr>
        <w:t>年から低下傾向にあることがわかる（図</w:t>
      </w:r>
      <w:r w:rsidR="007C2ACC">
        <w:rPr>
          <w:sz w:val="22"/>
        </w:rPr>
        <w:t>2</w:t>
      </w:r>
      <w:r w:rsidR="00901E17">
        <w:rPr>
          <w:sz w:val="22"/>
        </w:rPr>
        <w:t>-2</w:t>
      </w:r>
      <w:r w:rsidR="00E06D8F">
        <w:rPr>
          <w:rFonts w:hint="eastAsia"/>
          <w:sz w:val="22"/>
        </w:rPr>
        <w:t>参照）。全体の約定金利の方が大手よりも一貫してやや低いがほぼ同じような軌跡をたどっている。</w:t>
      </w:r>
      <w:r w:rsidR="00E06D8F">
        <w:rPr>
          <w:sz w:val="22"/>
        </w:rPr>
        <w:t>1998</w:t>
      </w:r>
      <w:r w:rsidR="00E06D8F">
        <w:rPr>
          <w:rFonts w:hint="eastAsia"/>
          <w:sz w:val="22"/>
        </w:rPr>
        <w:t>年から</w:t>
      </w:r>
      <w:r w:rsidR="00E06D8F">
        <w:rPr>
          <w:sz w:val="22"/>
        </w:rPr>
        <w:t>2006</w:t>
      </w:r>
      <w:r w:rsidR="00E06D8F">
        <w:rPr>
          <w:rFonts w:hint="eastAsia"/>
          <w:sz w:val="22"/>
        </w:rPr>
        <w:t>年</w:t>
      </w:r>
      <w:r w:rsidR="00E06D8F">
        <w:rPr>
          <w:sz w:val="22"/>
        </w:rPr>
        <w:t>3</w:t>
      </w:r>
      <w:r w:rsidR="00E06D8F">
        <w:rPr>
          <w:rFonts w:hint="eastAsia"/>
          <w:sz w:val="22"/>
        </w:rPr>
        <w:t>月まで</w:t>
      </w:r>
      <w:r w:rsidR="00E06D8F">
        <w:rPr>
          <w:sz w:val="22"/>
        </w:rPr>
        <w:t>8</w:t>
      </w:r>
      <w:r w:rsidR="00E06D8F">
        <w:rPr>
          <w:rFonts w:hint="eastAsia"/>
          <w:sz w:val="22"/>
        </w:rPr>
        <w:t>年間で</w:t>
      </w:r>
      <w:r w:rsidR="00E06D8F">
        <w:rPr>
          <w:sz w:val="22"/>
        </w:rPr>
        <w:t>27%</w:t>
      </w:r>
      <w:r w:rsidR="00E06D8F">
        <w:rPr>
          <w:rFonts w:hint="eastAsia"/>
          <w:sz w:val="22"/>
        </w:rPr>
        <w:t>から</w:t>
      </w:r>
      <w:r w:rsidR="00E06D8F">
        <w:rPr>
          <w:sz w:val="22"/>
        </w:rPr>
        <w:t>25%</w:t>
      </w:r>
      <w:r w:rsidR="00E06D8F">
        <w:rPr>
          <w:rFonts w:hint="eastAsia"/>
          <w:sz w:val="22"/>
        </w:rPr>
        <w:t>まで低下していた大手金利であったが、最高裁判決の影響が出始めたと考えられる</w:t>
      </w:r>
      <w:r w:rsidR="00E06D8F">
        <w:rPr>
          <w:rFonts w:hint="eastAsia"/>
          <w:sz w:val="22"/>
        </w:rPr>
        <w:t>2006</w:t>
      </w:r>
      <w:r w:rsidR="00E06D8F">
        <w:rPr>
          <w:rFonts w:hint="eastAsia"/>
          <w:sz w:val="22"/>
        </w:rPr>
        <w:t>年</w:t>
      </w:r>
      <w:r w:rsidR="00E06D8F">
        <w:rPr>
          <w:sz w:val="22"/>
        </w:rPr>
        <w:t>9</w:t>
      </w:r>
      <w:r w:rsidR="00E06D8F">
        <w:rPr>
          <w:rFonts w:hint="eastAsia"/>
          <w:sz w:val="22"/>
        </w:rPr>
        <w:t>月以降が低下の速度が急になり、</w:t>
      </w:r>
      <w:r w:rsidR="00E06D8F">
        <w:rPr>
          <w:sz w:val="22"/>
        </w:rPr>
        <w:t>2012</w:t>
      </w:r>
      <w:r w:rsidR="00E06D8F">
        <w:rPr>
          <w:rFonts w:hint="eastAsia"/>
          <w:sz w:val="22"/>
        </w:rPr>
        <w:t>年</w:t>
      </w:r>
      <w:r w:rsidR="00E06D8F">
        <w:rPr>
          <w:sz w:val="22"/>
        </w:rPr>
        <w:t>9</w:t>
      </w:r>
      <w:r w:rsidR="00E06D8F">
        <w:rPr>
          <w:rFonts w:hint="eastAsia"/>
          <w:sz w:val="22"/>
        </w:rPr>
        <w:t>月には</w:t>
      </w:r>
      <w:r w:rsidR="00E06D8F">
        <w:rPr>
          <w:sz w:val="22"/>
        </w:rPr>
        <w:t>17%</w:t>
      </w:r>
      <w:r w:rsidR="00E06D8F">
        <w:rPr>
          <w:rFonts w:hint="eastAsia"/>
          <w:sz w:val="22"/>
        </w:rPr>
        <w:t>以下まで低下した。</w:t>
      </w:r>
    </w:p>
    <w:p w14:paraId="76FAE6C0" w14:textId="254F860C" w:rsidR="00E06D8F" w:rsidRDefault="00E06D8F" w:rsidP="00E06D8F">
      <w:pPr>
        <w:rPr>
          <w:sz w:val="22"/>
        </w:rPr>
      </w:pPr>
      <w:r>
        <w:rPr>
          <w:rFonts w:hint="eastAsia"/>
          <w:sz w:val="22"/>
        </w:rPr>
        <w:t xml:space="preserve">　以上の大手５社の貸出残高を横軸にと平均約定金利を縦軸にプロットした散布図を作成した（図</w:t>
      </w:r>
      <w:r w:rsidR="007C2ACC">
        <w:rPr>
          <w:sz w:val="22"/>
        </w:rPr>
        <w:t>2</w:t>
      </w:r>
      <w:r w:rsidR="00901E17">
        <w:rPr>
          <w:sz w:val="22"/>
        </w:rPr>
        <w:t>-3</w:t>
      </w:r>
      <w:r>
        <w:rPr>
          <w:rFonts w:hint="eastAsia"/>
          <w:sz w:val="22"/>
        </w:rPr>
        <w:t>参照）。大きな半円を描きながら推移したこの図から読み取れるのは以下の通りである。まず、</w:t>
      </w:r>
      <w:r>
        <w:rPr>
          <w:sz w:val="22"/>
        </w:rPr>
        <w:t>2006</w:t>
      </w:r>
      <w:r>
        <w:rPr>
          <w:rFonts w:hint="eastAsia"/>
          <w:sz w:val="22"/>
        </w:rPr>
        <w:t>年３月まで平均約定金利は穏やかに低下し、貸出残高を増加させてきた。しかし、判決以降は新規貸付金利を</w:t>
      </w:r>
      <w:r>
        <w:rPr>
          <w:sz w:val="22"/>
        </w:rPr>
        <w:t>20%</w:t>
      </w:r>
      <w:r>
        <w:rPr>
          <w:rFonts w:hint="eastAsia"/>
          <w:sz w:val="22"/>
        </w:rPr>
        <w:t>以下に抑えざるを得なかったため、全体の平均約定金利が徐々に低下し始めた。そして、これまでのグレーゾーン金利帯で貸し出していた比較的高リスクの借り手に金利が見合わないため貸出を抑制し、貸出残高が年平均約１兆円</w:t>
      </w:r>
      <w:r w:rsidR="00D16DD3">
        <w:rPr>
          <w:rFonts w:hint="eastAsia"/>
          <w:sz w:val="22"/>
        </w:rPr>
        <w:t>減</w:t>
      </w:r>
      <w:r>
        <w:rPr>
          <w:rFonts w:hint="eastAsia"/>
          <w:sz w:val="22"/>
        </w:rPr>
        <w:t>という急激な縮小を始めたことが読み取れる。</w:t>
      </w:r>
      <w:r>
        <w:rPr>
          <w:sz w:val="22"/>
        </w:rPr>
        <w:t>2010</w:t>
      </w:r>
      <w:r>
        <w:rPr>
          <w:rFonts w:hint="eastAsia"/>
          <w:sz w:val="22"/>
        </w:rPr>
        <w:t>年以降は武富士と三洋信販の事実上の倒産があり貸出残高が更に急に減少した可能性が高い。</w:t>
      </w:r>
      <w:r w:rsidR="00D16DD3">
        <w:rPr>
          <w:rFonts w:hint="eastAsia"/>
          <w:sz w:val="22"/>
        </w:rPr>
        <w:t>このように</w:t>
      </w:r>
      <w:r>
        <w:rPr>
          <w:rFonts w:hint="eastAsia"/>
          <w:sz w:val="22"/>
        </w:rPr>
        <w:t>判決が引き金となって大手５社による消費者金融市場に構造変化が起こったことは</w:t>
      </w:r>
      <w:r w:rsidR="001736B7">
        <w:rPr>
          <w:rFonts w:hint="eastAsia"/>
          <w:sz w:val="22"/>
        </w:rPr>
        <w:t>明らかである。</w:t>
      </w:r>
    </w:p>
    <w:p w14:paraId="12734AE4" w14:textId="77777777" w:rsidR="004F4869" w:rsidRDefault="004F4869" w:rsidP="00E06D8F">
      <w:pPr>
        <w:rPr>
          <w:sz w:val="22"/>
        </w:rPr>
      </w:pPr>
      <w:r>
        <w:rPr>
          <w:rFonts w:hint="eastAsia"/>
          <w:sz w:val="22"/>
        </w:rPr>
        <w:t xml:space="preserve">　</w:t>
      </w:r>
      <w:r w:rsidR="00D16DD3">
        <w:rPr>
          <w:rFonts w:hint="eastAsia"/>
          <w:sz w:val="22"/>
        </w:rPr>
        <w:t>以上より</w:t>
      </w:r>
      <w:r>
        <w:rPr>
          <w:rFonts w:hint="eastAsia"/>
        </w:rPr>
        <w:t>消費者金融市場を概観することで分かったことは、最高裁判決及び貸金業法改正によって、市場の寡占化が進むほど消費者金融市場は縮小したこと及び同様の影響で消費者金融市場では構造変化が起こったという</w:t>
      </w:r>
      <w:r>
        <w:rPr>
          <w:rFonts w:hint="eastAsia"/>
        </w:rPr>
        <w:t>2</w:t>
      </w:r>
      <w:r>
        <w:rPr>
          <w:rFonts w:hint="eastAsia"/>
        </w:rPr>
        <w:t>点である。</w:t>
      </w:r>
    </w:p>
    <w:p w14:paraId="6C0CB91C" w14:textId="77777777" w:rsidR="00E06D8F" w:rsidRDefault="00E06D8F"/>
    <w:p w14:paraId="3F264E6C" w14:textId="77777777" w:rsidR="00DF3841" w:rsidRPr="00E96D25" w:rsidRDefault="0002524F" w:rsidP="00E96D25">
      <w:pPr>
        <w:pStyle w:val="2"/>
      </w:pPr>
      <w:bookmarkStart w:id="2" w:name="_Toc221603807"/>
      <w:r w:rsidRPr="00E96D25">
        <w:rPr>
          <w:rFonts w:hint="eastAsia"/>
        </w:rPr>
        <w:t>3</w:t>
      </w:r>
      <w:r w:rsidRPr="00E96D25">
        <w:rPr>
          <w:rFonts w:hint="eastAsia"/>
        </w:rPr>
        <w:t xml:space="preserve">章　</w:t>
      </w:r>
      <w:r w:rsidR="00DF3841" w:rsidRPr="00E96D25">
        <w:rPr>
          <w:rFonts w:hint="eastAsia"/>
        </w:rPr>
        <w:t>先行研究の概観</w:t>
      </w:r>
      <w:bookmarkEnd w:id="2"/>
    </w:p>
    <w:p w14:paraId="52B3F363" w14:textId="2C85C818" w:rsidR="00E152E5" w:rsidRDefault="00E152E5" w:rsidP="00E152E5">
      <w:pPr>
        <w:ind w:firstLineChars="100" w:firstLine="210"/>
      </w:pPr>
      <w:r>
        <w:rPr>
          <w:rFonts w:hint="eastAsia"/>
        </w:rPr>
        <w:t>本稿では消費者金融市場の余剰分析を行うが、これと同様の分析についての先行研究はない。</w:t>
      </w:r>
      <w:r w:rsidR="001C5015">
        <w:rPr>
          <w:rFonts w:hint="eastAsia"/>
        </w:rPr>
        <w:t>一方で本稿の分析と密接に関係する上限金利規制についての先行研究は大塚氏の論文や大竹氏の論文</w:t>
      </w:r>
      <w:r w:rsidR="004D08BD">
        <w:rPr>
          <w:rFonts w:hint="eastAsia"/>
        </w:rPr>
        <w:t>など</w:t>
      </w:r>
      <w:r w:rsidR="001C5015">
        <w:rPr>
          <w:rFonts w:hint="eastAsia"/>
        </w:rPr>
        <w:t>がある。大塚氏によれば、情報の非対称性が存在するならば、消費者金融の利用はゆがんだ消費であり、</w:t>
      </w:r>
      <w:r w:rsidR="009A6484">
        <w:rPr>
          <w:rFonts w:hint="eastAsia"/>
        </w:rPr>
        <w:t>消費者金融の利用禁止や</w:t>
      </w:r>
      <w:r w:rsidR="001C5015">
        <w:rPr>
          <w:rFonts w:hint="eastAsia"/>
        </w:rPr>
        <w:t>金利上限規制</w:t>
      </w:r>
      <w:r w:rsidR="009A6484">
        <w:rPr>
          <w:rFonts w:hint="eastAsia"/>
        </w:rPr>
        <w:t>といった金融規制</w:t>
      </w:r>
      <w:r w:rsidR="001C5015">
        <w:rPr>
          <w:rFonts w:hint="eastAsia"/>
        </w:rPr>
        <w:t>を正当化できる可能性がある</w:t>
      </w:r>
      <w:r w:rsidR="001C5015">
        <w:rPr>
          <w:rStyle w:val="af"/>
        </w:rPr>
        <w:footnoteReference w:id="2"/>
      </w:r>
      <w:r w:rsidR="001C5015">
        <w:rPr>
          <w:rFonts w:hint="eastAsia"/>
        </w:rPr>
        <w:t>。</w:t>
      </w:r>
      <w:r w:rsidR="004D08BD">
        <w:rPr>
          <w:rFonts w:hint="eastAsia"/>
        </w:rPr>
        <w:t>大竹氏は、消費者金融市場が独占または寡占市場である</w:t>
      </w:r>
      <w:r w:rsidR="004D08BD">
        <w:rPr>
          <w:rStyle w:val="af"/>
        </w:rPr>
        <w:footnoteReference w:id="3"/>
      </w:r>
      <w:r w:rsidR="004D08BD">
        <w:rPr>
          <w:rFonts w:hint="eastAsia"/>
        </w:rPr>
        <w:t>ならば上限金利規制を正当化</w:t>
      </w:r>
      <w:r w:rsidR="004D08BD">
        <w:rPr>
          <w:rFonts w:hint="eastAsia"/>
        </w:rPr>
        <w:lastRenderedPageBreak/>
        <w:t>する余地はある</w:t>
      </w:r>
      <w:r w:rsidR="004D08BD">
        <w:rPr>
          <w:rStyle w:val="af"/>
        </w:rPr>
        <w:footnoteReference w:id="4"/>
      </w:r>
      <w:r w:rsidR="004D08BD">
        <w:rPr>
          <w:rFonts w:hint="eastAsia"/>
        </w:rPr>
        <w:t>と述べている。しかしこの点に関しては独占または寡占市場での金利規制後に増加するはずの貸出量が減少していることからこの点からの上限金利規制は正当化できない。</w:t>
      </w:r>
      <w:r>
        <w:rPr>
          <w:rFonts w:hint="eastAsia"/>
        </w:rPr>
        <w:t>貸金業法改正の経済効果についての先行研究で</w:t>
      </w:r>
      <w:r w:rsidR="00930BA4">
        <w:rPr>
          <w:rFonts w:hint="eastAsia"/>
        </w:rPr>
        <w:t>あるならば、植杉氏の論文や飯田氏の論文などがある。植杉氏の論文では</w:t>
      </w:r>
      <w:r>
        <w:rPr>
          <w:rFonts w:hint="eastAsia"/>
        </w:rPr>
        <w:t>、</w:t>
      </w:r>
      <w:r>
        <w:rPr>
          <w:rFonts w:hint="eastAsia"/>
        </w:rPr>
        <w:t>2006</w:t>
      </w:r>
      <w:r>
        <w:rPr>
          <w:rFonts w:hint="eastAsia"/>
        </w:rPr>
        <w:t>年初の時点で貸金業者から借入を行っていた企業は回答企業全体に比して資金調達環境が悪化していることや貸金業者から借入を行う企業は銀行からの借り入れに関して借入制約や厳しい借り入れ条件に直面している場合が多いこと、金融業者からは経常運転資金や突発的なつなぎ資金を使途とした借り入れが多い一方で設備資金を借り入れる企業も一割程度存在することが分かる</w:t>
      </w:r>
      <w:r>
        <w:rPr>
          <w:rStyle w:val="af"/>
        </w:rPr>
        <w:footnoteReference w:id="5"/>
      </w:r>
      <w:r>
        <w:rPr>
          <w:rFonts w:hint="eastAsia"/>
        </w:rPr>
        <w:t>。飯田氏</w:t>
      </w:r>
      <w:r w:rsidR="00930BA4">
        <w:rPr>
          <w:rFonts w:hint="eastAsia"/>
        </w:rPr>
        <w:t>の論文では、</w:t>
      </w:r>
      <w:r>
        <w:rPr>
          <w:rFonts w:hint="eastAsia"/>
        </w:rPr>
        <w:t>2006</w:t>
      </w:r>
      <w:r>
        <w:rPr>
          <w:rFonts w:hint="eastAsia"/>
        </w:rPr>
        <w:t>年の改正貸金業法による貸金業全体の経済効果は名目</w:t>
      </w:r>
      <w:r>
        <w:rPr>
          <w:rFonts w:hint="eastAsia"/>
        </w:rPr>
        <w:t>GDP</w:t>
      </w:r>
      <w:r>
        <w:rPr>
          <w:rFonts w:hint="eastAsia"/>
        </w:rPr>
        <w:t>成長率約マイナス</w:t>
      </w:r>
      <w:r>
        <w:rPr>
          <w:rFonts w:hint="eastAsia"/>
        </w:rPr>
        <w:t>2.5%</w:t>
      </w:r>
      <w:r>
        <w:rPr>
          <w:rFonts w:hint="eastAsia"/>
        </w:rPr>
        <w:t>、新規失業者は約</w:t>
      </w:r>
      <w:r>
        <w:rPr>
          <w:rFonts w:hint="eastAsia"/>
        </w:rPr>
        <w:t>9</w:t>
      </w:r>
      <w:r>
        <w:rPr>
          <w:rFonts w:hint="eastAsia"/>
        </w:rPr>
        <w:t>万人になる</w:t>
      </w:r>
      <w:r w:rsidR="00930BA4">
        <w:rPr>
          <w:rFonts w:hint="eastAsia"/>
        </w:rPr>
        <w:t>と推計されている</w:t>
      </w:r>
      <w:r>
        <w:rPr>
          <w:rStyle w:val="af"/>
        </w:rPr>
        <w:footnoteReference w:id="6"/>
      </w:r>
      <w:r>
        <w:rPr>
          <w:rFonts w:hint="eastAsia"/>
        </w:rPr>
        <w:t>。以上が主要な先行研究であるが、本稿のような消費者金融市場の余剰分析は行われていなく、この分析が本稿の大きな意義となる。</w:t>
      </w:r>
    </w:p>
    <w:p w14:paraId="5249F1D4" w14:textId="33E66B78" w:rsidR="00955433" w:rsidRPr="00E152E5" w:rsidRDefault="00955433" w:rsidP="00E152E5"/>
    <w:p w14:paraId="0579B43C" w14:textId="00CD50FE" w:rsidR="00533994" w:rsidRDefault="00533994" w:rsidP="00DC5F6A">
      <w:pPr>
        <w:pStyle w:val="2"/>
      </w:pPr>
      <w:bookmarkStart w:id="3" w:name="_Toc221603812"/>
      <w:r>
        <w:rPr>
          <w:rFonts w:hint="eastAsia"/>
        </w:rPr>
        <w:t>4</w:t>
      </w:r>
      <w:r>
        <w:rPr>
          <w:rFonts w:hint="eastAsia"/>
        </w:rPr>
        <w:t xml:space="preserve">章　</w:t>
      </w:r>
      <w:r w:rsidR="008F759D">
        <w:rPr>
          <w:rFonts w:hint="eastAsia"/>
        </w:rPr>
        <w:t>消費者金融市場についての</w:t>
      </w:r>
      <w:r w:rsidR="00955433">
        <w:rPr>
          <w:rFonts w:hint="eastAsia"/>
        </w:rPr>
        <w:t>実証</w:t>
      </w:r>
      <w:r w:rsidR="00DF3841">
        <w:rPr>
          <w:rFonts w:hint="eastAsia"/>
        </w:rPr>
        <w:t>分析</w:t>
      </w:r>
      <w:bookmarkEnd w:id="3"/>
    </w:p>
    <w:p w14:paraId="290418CC" w14:textId="77777777" w:rsidR="00DF3841" w:rsidRDefault="00533994" w:rsidP="00E96D25">
      <w:pPr>
        <w:pStyle w:val="3"/>
      </w:pPr>
      <w:bookmarkStart w:id="4" w:name="_Toc221603813"/>
      <w:r>
        <w:rPr>
          <w:rFonts w:hint="eastAsia"/>
        </w:rPr>
        <w:t>4</w:t>
      </w:r>
      <w:r>
        <w:rPr>
          <w:rFonts w:hint="eastAsia"/>
        </w:rPr>
        <w:t>－</w:t>
      </w:r>
      <w:r>
        <w:rPr>
          <w:rFonts w:hint="eastAsia"/>
        </w:rPr>
        <w:t>1</w:t>
      </w:r>
      <w:r>
        <w:rPr>
          <w:rFonts w:hint="eastAsia"/>
        </w:rPr>
        <w:t xml:space="preserve">　</w:t>
      </w:r>
      <w:r w:rsidR="00DF3841">
        <w:rPr>
          <w:rFonts w:hint="eastAsia"/>
        </w:rPr>
        <w:t>分析の枠組み</w:t>
      </w:r>
      <w:bookmarkEnd w:id="4"/>
    </w:p>
    <w:p w14:paraId="1D380A07" w14:textId="6D59E110" w:rsidR="00055BA0" w:rsidRDefault="00896433">
      <w:r>
        <w:rPr>
          <w:rFonts w:hint="eastAsia"/>
        </w:rPr>
        <w:t xml:space="preserve">　本稿では</w:t>
      </w:r>
      <w:r w:rsidR="002E3B3C">
        <w:rPr>
          <w:rFonts w:hint="eastAsia"/>
        </w:rPr>
        <w:t>最高裁判決及び貸金業法改正が与えた</w:t>
      </w:r>
      <w:r w:rsidR="002E3B3C">
        <w:rPr>
          <w:rFonts w:hint="eastAsia"/>
        </w:rPr>
        <w:t>2006</w:t>
      </w:r>
      <w:r w:rsidR="002E3B3C">
        <w:rPr>
          <w:rFonts w:hint="eastAsia"/>
        </w:rPr>
        <w:t>年以降の消費者金融市場の社会的余剰の変化を推計するにあたっての</w:t>
      </w:r>
      <w:r>
        <w:rPr>
          <w:rFonts w:hint="eastAsia"/>
        </w:rPr>
        <w:t>分析ツールとして余剰分析を採用する。</w:t>
      </w:r>
      <w:r w:rsidR="002B399B">
        <w:rPr>
          <w:rFonts w:hint="eastAsia"/>
        </w:rPr>
        <w:t>第</w:t>
      </w:r>
      <w:r w:rsidR="002B399B">
        <w:rPr>
          <w:rFonts w:hint="eastAsia"/>
        </w:rPr>
        <w:t>1</w:t>
      </w:r>
      <w:r w:rsidR="002B399B">
        <w:rPr>
          <w:rFonts w:hint="eastAsia"/>
        </w:rPr>
        <w:t>に</w:t>
      </w:r>
      <w:r w:rsidR="007C2ACC">
        <w:rPr>
          <w:rFonts w:hint="eastAsia"/>
        </w:rPr>
        <w:t>消費者金融市場における</w:t>
      </w:r>
      <w:r w:rsidR="002E3B3C">
        <w:rPr>
          <w:rFonts w:hint="eastAsia"/>
        </w:rPr>
        <w:t>貸出量の減少の因果関係について分析する。なぜなら、最高裁判決及び貸金業法改正以外の外部要因が貸出量</w:t>
      </w:r>
      <w:r w:rsidR="00533994">
        <w:rPr>
          <w:rFonts w:hint="eastAsia"/>
        </w:rPr>
        <w:t>に影響を与えた可能性も残っているからである。具体的な手段</w:t>
      </w:r>
      <w:r w:rsidR="006A65E8">
        <w:rPr>
          <w:rFonts w:hint="eastAsia"/>
        </w:rPr>
        <w:t>は</w:t>
      </w:r>
      <w:r w:rsidR="00533994">
        <w:rPr>
          <w:rFonts w:hint="eastAsia"/>
        </w:rPr>
        <w:t>、</w:t>
      </w:r>
      <w:r w:rsidR="00FA4292">
        <w:rPr>
          <w:rFonts w:hint="eastAsia"/>
        </w:rPr>
        <w:t>消費者信用市場及との比較及びカードローン市場の概観である。前者については、消費者金融市場における貸出量の変化がその市場に固有な変化であることを確認するために消費者信用市場の変化と比較した。なぜなら、双方の市場においても景気状況や所得変化に同様に感応的であり、片方の市場における変化がその市場に固有であるかを見分けるのに有効であるからだ。後者については、本稿の余剰分析を行うにあたっての必要な前提を確認するために、消費者金融の代替財となりうるカードローン市場を概観した。なぜなら、仮に消費者金融市場の貸出量が減る一方でカードローン市場の需要が増えているならば、双方の市場の余剰分析が必要となるからだ。逆に仮に消費者金融市場の貸出量が減る中でカードローン市場の需要が増えていないのであれば、</w:t>
      </w:r>
      <w:r w:rsidR="007C2ACC">
        <w:rPr>
          <w:rFonts w:hint="eastAsia"/>
        </w:rPr>
        <w:t>社会全体の余剰を考えるにあたって</w:t>
      </w:r>
      <w:r w:rsidR="00FA4292">
        <w:rPr>
          <w:rFonts w:hint="eastAsia"/>
        </w:rPr>
        <w:t>消費者金融市場のみの余剰分析で十分である。</w:t>
      </w:r>
      <w:r w:rsidR="002B399B">
        <w:rPr>
          <w:rFonts w:hint="eastAsia"/>
        </w:rPr>
        <w:t>第</w:t>
      </w:r>
      <w:r w:rsidR="002B399B">
        <w:rPr>
          <w:rFonts w:hint="eastAsia"/>
        </w:rPr>
        <w:t>2</w:t>
      </w:r>
      <w:r w:rsidR="002B399B">
        <w:rPr>
          <w:rFonts w:hint="eastAsia"/>
        </w:rPr>
        <w:t>に</w:t>
      </w:r>
      <w:r w:rsidR="004465DC">
        <w:rPr>
          <w:rFonts w:hint="eastAsia"/>
        </w:rPr>
        <w:t>上記の分析をさらに深めるべく、</w:t>
      </w:r>
      <w:r w:rsidR="00055BA0">
        <w:rPr>
          <w:rFonts w:hint="eastAsia"/>
        </w:rPr>
        <w:t>消費者金融市場における貸出量の変化がその市場の固有の変化であるとした上で、この変化が最高裁判決及び貸金業法改正によるものなのか否かについても推計によって確かめる。</w:t>
      </w:r>
    </w:p>
    <w:p w14:paraId="09E55FB3" w14:textId="77777777" w:rsidR="00533994" w:rsidRDefault="00533994"/>
    <w:p w14:paraId="3F950F7F" w14:textId="77777777" w:rsidR="00DF3841" w:rsidRDefault="00533994" w:rsidP="00E96D25">
      <w:pPr>
        <w:pStyle w:val="3"/>
      </w:pPr>
      <w:bookmarkStart w:id="5" w:name="_Toc221603814"/>
      <w:r>
        <w:rPr>
          <w:rFonts w:hint="eastAsia"/>
        </w:rPr>
        <w:t>4</w:t>
      </w:r>
      <w:r>
        <w:rPr>
          <w:rFonts w:hint="eastAsia"/>
        </w:rPr>
        <w:t>－</w:t>
      </w:r>
      <w:r>
        <w:rPr>
          <w:rFonts w:hint="eastAsia"/>
        </w:rPr>
        <w:t>2</w:t>
      </w:r>
      <w:r>
        <w:rPr>
          <w:rFonts w:hint="eastAsia"/>
        </w:rPr>
        <w:t xml:space="preserve">　消費者金融市場と消費者信用市場との比較</w:t>
      </w:r>
      <w:bookmarkEnd w:id="5"/>
    </w:p>
    <w:p w14:paraId="54806130" w14:textId="617C85A4" w:rsidR="003D7D7E" w:rsidRDefault="00E83FFC">
      <w:r>
        <w:rPr>
          <w:rFonts w:hint="eastAsia"/>
        </w:rPr>
        <w:t xml:space="preserve">　まずは消費者</w:t>
      </w:r>
      <w:r w:rsidR="00533994">
        <w:rPr>
          <w:rFonts w:hint="eastAsia"/>
        </w:rPr>
        <w:t>金融市場と消費者信用市場との比較である。</w:t>
      </w:r>
      <w:r w:rsidR="00494FBD">
        <w:rPr>
          <w:rFonts w:hint="eastAsia"/>
        </w:rPr>
        <w:t>図</w:t>
      </w:r>
      <w:r w:rsidR="00901E17">
        <w:rPr>
          <w:rFonts w:hint="eastAsia"/>
        </w:rPr>
        <w:t>4-1</w:t>
      </w:r>
      <w:r w:rsidR="00494FBD">
        <w:rPr>
          <w:rFonts w:hint="eastAsia"/>
        </w:rPr>
        <w:t>の通りに</w:t>
      </w:r>
      <w:r w:rsidR="00877FF6">
        <w:rPr>
          <w:rFonts w:hint="eastAsia"/>
        </w:rPr>
        <w:t>なる。</w:t>
      </w:r>
    </w:p>
    <w:p w14:paraId="5C1D5769" w14:textId="5A680162" w:rsidR="003D7D7E" w:rsidRDefault="00901E17" w:rsidP="00F00E3F">
      <w:pPr>
        <w:ind w:firstLineChars="100" w:firstLine="210"/>
      </w:pPr>
      <w:r>
        <w:rPr>
          <w:rFonts w:hint="eastAsia"/>
        </w:rPr>
        <w:t>図</w:t>
      </w:r>
      <w:r>
        <w:rPr>
          <w:rFonts w:hint="eastAsia"/>
        </w:rPr>
        <w:t>4-1</w:t>
      </w:r>
      <w:r w:rsidR="003D7D7E">
        <w:rPr>
          <w:rFonts w:hint="eastAsia"/>
        </w:rPr>
        <w:t>から分かることは</w:t>
      </w:r>
      <w:r w:rsidR="003D7D7E">
        <w:rPr>
          <w:rFonts w:hint="eastAsia"/>
        </w:rPr>
        <w:t>2</w:t>
      </w:r>
      <w:r w:rsidR="003D7D7E">
        <w:rPr>
          <w:rFonts w:hint="eastAsia"/>
        </w:rPr>
        <w:t>点である。</w:t>
      </w:r>
      <w:r w:rsidR="003D7D7E">
        <w:rPr>
          <w:rFonts w:hint="eastAsia"/>
        </w:rPr>
        <w:t>90</w:t>
      </w:r>
      <w:r w:rsidR="003D7D7E">
        <w:rPr>
          <w:rFonts w:hint="eastAsia"/>
        </w:rPr>
        <w:t>年代初期から</w:t>
      </w:r>
      <w:r w:rsidR="006B618C">
        <w:rPr>
          <w:rFonts w:hint="eastAsia"/>
        </w:rPr>
        <w:t>90</w:t>
      </w:r>
      <w:r w:rsidR="006B618C">
        <w:rPr>
          <w:rFonts w:hint="eastAsia"/>
        </w:rPr>
        <w:t>年</w:t>
      </w:r>
      <w:r w:rsidR="003D7D7E">
        <w:rPr>
          <w:rFonts w:hint="eastAsia"/>
        </w:rPr>
        <w:t>代</w:t>
      </w:r>
      <w:r w:rsidR="006B618C">
        <w:rPr>
          <w:rFonts w:hint="eastAsia"/>
        </w:rPr>
        <w:t>後半</w:t>
      </w:r>
      <w:r w:rsidR="003D7D7E">
        <w:rPr>
          <w:rFonts w:hint="eastAsia"/>
        </w:rPr>
        <w:t>までは</w:t>
      </w:r>
      <w:r w:rsidR="006B618C">
        <w:rPr>
          <w:rFonts w:hint="eastAsia"/>
        </w:rPr>
        <w:t>双方の市場とも貸出</w:t>
      </w:r>
      <w:r w:rsidR="006B618C">
        <w:rPr>
          <w:rFonts w:hint="eastAsia"/>
        </w:rPr>
        <w:lastRenderedPageBreak/>
        <w:t>残高が上昇した。消費者金融市場の急激な増加率はこのころから多くの消費者金融会社が参入したこととサービスが多様化したことなどが原因として考えられるだろう。</w:t>
      </w:r>
      <w:r w:rsidR="006B618C">
        <w:rPr>
          <w:rFonts w:hint="eastAsia"/>
        </w:rPr>
        <w:t>2000</w:t>
      </w:r>
      <w:r w:rsidR="006B618C">
        <w:rPr>
          <w:rFonts w:hint="eastAsia"/>
        </w:rPr>
        <w:t>年初頭から</w:t>
      </w:r>
      <w:r w:rsidR="006B618C">
        <w:rPr>
          <w:rFonts w:hint="eastAsia"/>
        </w:rPr>
        <w:t>2005</w:t>
      </w:r>
      <w:r w:rsidR="006B618C">
        <w:rPr>
          <w:rFonts w:hint="eastAsia"/>
        </w:rPr>
        <w:t>年の間においては双方の市場は逆の動きを見せる。消費者信用市場は減少傾向にある</w:t>
      </w:r>
      <w:r w:rsidR="005B239D">
        <w:rPr>
          <w:rFonts w:hint="eastAsia"/>
        </w:rPr>
        <w:t>。</w:t>
      </w:r>
      <w:r w:rsidR="005B239D">
        <w:rPr>
          <w:rFonts w:hint="eastAsia"/>
        </w:rPr>
        <w:t>2006</w:t>
      </w:r>
      <w:r w:rsidR="005B239D">
        <w:rPr>
          <w:rFonts w:hint="eastAsia"/>
        </w:rPr>
        <w:t>年以降は双方の市場とも同様の減少傾向が観察できるが、消費者金融市場の減少率は消費者信用市場の減少率よりも著しく、消費者信用市場には見られない何らかの外部要因があったと推察できる。</w:t>
      </w:r>
    </w:p>
    <w:p w14:paraId="32EC0D23" w14:textId="77777777" w:rsidR="00FE0438" w:rsidRDefault="00FE0438" w:rsidP="00FE0438">
      <w:pPr>
        <w:jc w:val="left"/>
        <w:rPr>
          <w:sz w:val="22"/>
        </w:rPr>
      </w:pPr>
    </w:p>
    <w:p w14:paraId="24C0CC16" w14:textId="77777777" w:rsidR="00FE0438" w:rsidRDefault="00FE0438" w:rsidP="00FE0438">
      <w:pPr>
        <w:pStyle w:val="3"/>
      </w:pPr>
      <w:bookmarkStart w:id="6" w:name="_Toc221603823"/>
      <w:r>
        <w:rPr>
          <w:rFonts w:hint="eastAsia"/>
        </w:rPr>
        <w:t>4</w:t>
      </w:r>
      <w:r>
        <w:rPr>
          <w:rFonts w:hint="eastAsia"/>
        </w:rPr>
        <w:t>－</w:t>
      </w:r>
      <w:r>
        <w:rPr>
          <w:rFonts w:hint="eastAsia"/>
        </w:rPr>
        <w:t>4</w:t>
      </w:r>
      <w:r>
        <w:rPr>
          <w:rFonts w:hint="eastAsia"/>
        </w:rPr>
        <w:t xml:space="preserve">　カードローン市場の分析</w:t>
      </w:r>
      <w:bookmarkEnd w:id="6"/>
    </w:p>
    <w:p w14:paraId="13622FB4" w14:textId="77777777" w:rsidR="00FE0438" w:rsidRPr="003F4171" w:rsidRDefault="00FE0438" w:rsidP="00FE0438">
      <w:pPr>
        <w:rPr>
          <w:sz w:val="22"/>
        </w:rPr>
      </w:pPr>
      <w:r w:rsidRPr="003F4171">
        <w:rPr>
          <w:rFonts w:hint="eastAsia"/>
          <w:sz w:val="22"/>
        </w:rPr>
        <w:t xml:space="preserve">　これまでノンバンク系消費者金融会社に対象を絞って分析してきたが、この</w:t>
      </w:r>
      <w:r>
        <w:rPr>
          <w:rFonts w:hint="eastAsia"/>
          <w:sz w:val="22"/>
        </w:rPr>
        <w:t>節</w:t>
      </w:r>
      <w:r w:rsidRPr="003F4171">
        <w:rPr>
          <w:rFonts w:hint="eastAsia"/>
          <w:sz w:val="22"/>
        </w:rPr>
        <w:t>では</w:t>
      </w:r>
      <w:r>
        <w:rPr>
          <w:rFonts w:hint="eastAsia"/>
          <w:sz w:val="22"/>
        </w:rPr>
        <w:t>密接な関係がある</w:t>
      </w:r>
      <w:r w:rsidRPr="003F4171">
        <w:rPr>
          <w:rFonts w:hint="eastAsia"/>
          <w:sz w:val="22"/>
        </w:rPr>
        <w:t>銀行系</w:t>
      </w:r>
      <w:r>
        <w:rPr>
          <w:rFonts w:hint="eastAsia"/>
          <w:sz w:val="22"/>
        </w:rPr>
        <w:t>カードローンと消費者金融との関係について論じる。</w:t>
      </w:r>
    </w:p>
    <w:p w14:paraId="38CCB959" w14:textId="77777777" w:rsidR="00FE0438" w:rsidRDefault="00FE0438" w:rsidP="00FE0438">
      <w:pPr>
        <w:rPr>
          <w:sz w:val="22"/>
          <w:highlight w:val="lightGray"/>
        </w:rPr>
      </w:pPr>
    </w:p>
    <w:p w14:paraId="20EF6493" w14:textId="77777777" w:rsidR="00FE0438" w:rsidRPr="00012519" w:rsidRDefault="00FE0438" w:rsidP="00FE0438">
      <w:pPr>
        <w:pStyle w:val="3"/>
      </w:pPr>
      <w:bookmarkStart w:id="7" w:name="_Toc221603824"/>
      <w:r>
        <w:rPr>
          <w:rFonts w:hint="eastAsia"/>
        </w:rPr>
        <w:t>4</w:t>
      </w:r>
      <w:r>
        <w:rPr>
          <w:rFonts w:hint="eastAsia"/>
        </w:rPr>
        <w:t>－</w:t>
      </w:r>
      <w:r>
        <w:rPr>
          <w:rFonts w:hint="eastAsia"/>
        </w:rPr>
        <w:t>4</w:t>
      </w:r>
      <w:r>
        <w:rPr>
          <w:rFonts w:hint="eastAsia"/>
        </w:rPr>
        <w:t>－</w:t>
      </w:r>
      <w:r>
        <w:rPr>
          <w:rFonts w:hint="eastAsia"/>
        </w:rPr>
        <w:t>1</w:t>
      </w:r>
      <w:r>
        <w:rPr>
          <w:rFonts w:hint="eastAsia"/>
        </w:rPr>
        <w:t xml:space="preserve">　</w:t>
      </w:r>
      <w:r w:rsidRPr="00012519">
        <w:rPr>
          <w:rFonts w:hint="eastAsia"/>
        </w:rPr>
        <w:t>銀行系カードローンの特徴</w:t>
      </w:r>
      <w:bookmarkEnd w:id="7"/>
    </w:p>
    <w:p w14:paraId="1AF21BB2" w14:textId="77777777" w:rsidR="00FE0438" w:rsidRPr="003F4171" w:rsidRDefault="00FE0438" w:rsidP="00FE0438">
      <w:pPr>
        <w:rPr>
          <w:sz w:val="22"/>
        </w:rPr>
      </w:pPr>
      <w:r w:rsidRPr="003F4171">
        <w:rPr>
          <w:rFonts w:hint="eastAsia"/>
          <w:sz w:val="22"/>
        </w:rPr>
        <w:t xml:space="preserve">　銀行系カードローンは消費者向けに信用調査を行い、融資を実行し月々の利息を加えた返済を受け取り、利益をあげるという点で、ノンバンクによる消費者金融と</w:t>
      </w:r>
      <w:r>
        <w:rPr>
          <w:rFonts w:hint="eastAsia"/>
          <w:sz w:val="22"/>
        </w:rPr>
        <w:t>非常に似通ったビジネスモデルである。しかし</w:t>
      </w:r>
      <w:r w:rsidRPr="003F4171">
        <w:rPr>
          <w:rFonts w:hint="eastAsia"/>
          <w:sz w:val="22"/>
        </w:rPr>
        <w:t>以下の２点において異なった特徴を持っている。第</w:t>
      </w:r>
      <w:r>
        <w:rPr>
          <w:rFonts w:hint="eastAsia"/>
          <w:sz w:val="22"/>
        </w:rPr>
        <w:t>1</w:t>
      </w:r>
      <w:r w:rsidRPr="003F4171">
        <w:rPr>
          <w:rFonts w:hint="eastAsia"/>
          <w:sz w:val="22"/>
        </w:rPr>
        <w:t>に、適用される法律が異なるということである。ノンバンクによる消費者金融はこれまで述べてきた通り、貸金業法によって規制されているが、銀行によるカードローンは銀行法によって規制されている。そのため、</w:t>
      </w:r>
      <w:r>
        <w:rPr>
          <w:rFonts w:hint="eastAsia"/>
          <w:sz w:val="22"/>
        </w:rPr>
        <w:t>改正</w:t>
      </w:r>
      <w:r w:rsidRPr="003F4171">
        <w:rPr>
          <w:rFonts w:hint="eastAsia"/>
          <w:sz w:val="22"/>
        </w:rPr>
        <w:t>貸金業法の総量規制や上限金利は適用されない。第</w:t>
      </w:r>
      <w:r>
        <w:rPr>
          <w:rFonts w:hint="eastAsia"/>
          <w:sz w:val="22"/>
        </w:rPr>
        <w:t>2</w:t>
      </w:r>
      <w:r w:rsidRPr="003F4171">
        <w:rPr>
          <w:rFonts w:hint="eastAsia"/>
          <w:sz w:val="22"/>
        </w:rPr>
        <w:t>に、与信審査の厳格さの違いである。そもそも銀行系カードローンの金利は一般的に４％〜１５％と消費者金融と比較して低利率であり借入限度額も最高１０００万円程度と高いため、顧客層の属性が高い。すなわち、ノンバンク系消費者金融と比較して与信審査が厳格となり、</w:t>
      </w:r>
      <w:r>
        <w:rPr>
          <w:rFonts w:hint="eastAsia"/>
          <w:sz w:val="22"/>
        </w:rPr>
        <w:t>貸し手からみて</w:t>
      </w:r>
      <w:r w:rsidRPr="003F4171">
        <w:rPr>
          <w:rFonts w:hint="eastAsia"/>
          <w:sz w:val="22"/>
        </w:rPr>
        <w:t>低リスクの顧客が対象となる。しかし、改正貸金業法に</w:t>
      </w:r>
      <w:r>
        <w:rPr>
          <w:rFonts w:hint="eastAsia"/>
          <w:sz w:val="22"/>
        </w:rPr>
        <w:t>よる上限金利の引き下げ後はその金利差が縮まったこと、</w:t>
      </w:r>
      <w:r>
        <w:rPr>
          <w:sz w:val="22"/>
        </w:rPr>
        <w:t>2000</w:t>
      </w:r>
      <w:r>
        <w:rPr>
          <w:rFonts w:hint="eastAsia"/>
          <w:sz w:val="22"/>
        </w:rPr>
        <w:t>年前後から相次いだ消費者金融会社と銀行の消費者向け無担保貸付を目的とした合併会社設立の設立やアコムと三菱東京フィナンシャルグループ、プロミスと三井住友フィナンシャルグループの資本提携などの一体化が進んだことから厳密にビジネスモデル</w:t>
      </w:r>
      <w:r w:rsidRPr="003F4171">
        <w:rPr>
          <w:rFonts w:hint="eastAsia"/>
          <w:sz w:val="22"/>
        </w:rPr>
        <w:t>を区別することは難しくなった。</w:t>
      </w:r>
    </w:p>
    <w:p w14:paraId="551D294B" w14:textId="77777777" w:rsidR="00FE0438" w:rsidRPr="003F4171" w:rsidRDefault="00FE0438" w:rsidP="00FE0438">
      <w:pPr>
        <w:ind w:firstLineChars="100" w:firstLine="220"/>
        <w:rPr>
          <w:sz w:val="22"/>
        </w:rPr>
      </w:pPr>
      <w:r w:rsidRPr="003F4171">
        <w:rPr>
          <w:rFonts w:hint="eastAsia"/>
          <w:sz w:val="22"/>
        </w:rPr>
        <w:t>貸金業法改正による</w:t>
      </w:r>
      <w:r>
        <w:rPr>
          <w:rFonts w:hint="eastAsia"/>
          <w:sz w:val="22"/>
        </w:rPr>
        <w:t>上限金利の引き下げ及び</w:t>
      </w:r>
      <w:r w:rsidRPr="003F4171">
        <w:rPr>
          <w:rFonts w:hint="eastAsia"/>
          <w:sz w:val="22"/>
        </w:rPr>
        <w:t>総量規制の導入において、規制対象</w:t>
      </w:r>
      <w:r>
        <w:rPr>
          <w:rFonts w:hint="eastAsia"/>
          <w:sz w:val="22"/>
        </w:rPr>
        <w:t>者の受け皿として期待されていた銀行系カードローンではあるが、残高の推移の変化</w:t>
      </w:r>
      <w:r w:rsidRPr="003F4171">
        <w:rPr>
          <w:rFonts w:hint="eastAsia"/>
          <w:sz w:val="22"/>
        </w:rPr>
        <w:t>からは受け皿の役目を果たしているとは言いがたい</w:t>
      </w:r>
      <w:r>
        <w:rPr>
          <w:rFonts w:hint="eastAsia"/>
          <w:sz w:val="22"/>
        </w:rPr>
        <w:t>（図</w:t>
      </w:r>
      <w:r>
        <w:rPr>
          <w:sz w:val="22"/>
        </w:rPr>
        <w:t>4-2</w:t>
      </w:r>
      <w:r>
        <w:rPr>
          <w:rFonts w:hint="eastAsia"/>
          <w:sz w:val="22"/>
        </w:rPr>
        <w:t>参照）</w:t>
      </w:r>
      <w:r w:rsidRPr="003F4171">
        <w:rPr>
          <w:rFonts w:hint="eastAsia"/>
          <w:sz w:val="22"/>
        </w:rPr>
        <w:t>。</w:t>
      </w:r>
      <w:r>
        <w:rPr>
          <w:rFonts w:hint="eastAsia"/>
          <w:sz w:val="22"/>
        </w:rPr>
        <w:t>最高裁判決および改正貸金業法公布後から消費者ローン市場</w:t>
      </w:r>
      <w:r>
        <w:rPr>
          <w:rStyle w:val="af"/>
          <w:sz w:val="22"/>
        </w:rPr>
        <w:footnoteReference w:id="7"/>
      </w:r>
      <w:r>
        <w:rPr>
          <w:rFonts w:hint="eastAsia"/>
          <w:sz w:val="22"/>
        </w:rPr>
        <w:t>におけるカードローンのシェアは急上昇しているが、その残高自体はほとんど変化していないため、シェアの上昇は消費者金融の貸出残高縮小によるものと言える。受け皿となりえなかった要因として以下の点が考えられる。上記のようにそもそも</w:t>
      </w:r>
      <w:r w:rsidRPr="003F4171">
        <w:rPr>
          <w:rFonts w:hint="eastAsia"/>
          <w:sz w:val="22"/>
        </w:rPr>
        <w:t>顧客層が違うため、</w:t>
      </w:r>
      <w:r>
        <w:rPr>
          <w:rFonts w:hint="eastAsia"/>
          <w:sz w:val="22"/>
        </w:rPr>
        <w:t>グレーゾーンで借入を行なっていた低属性の顧客層は銀行系カードローンの金利ではリスクが許容されず借入を受けることができない。当然、消費者金融で借りられなくなったからといってより審査の厳しい銀行系カードローンで新規に借り入れられることはない。</w:t>
      </w:r>
    </w:p>
    <w:p w14:paraId="5AC613D6" w14:textId="77777777" w:rsidR="00FE0438" w:rsidRDefault="00FE0438" w:rsidP="00FE0438">
      <w:pPr>
        <w:ind w:firstLineChars="100" w:firstLine="210"/>
      </w:pPr>
      <w:r>
        <w:rPr>
          <w:rFonts w:hint="eastAsia"/>
        </w:rPr>
        <w:lastRenderedPageBreak/>
        <w:t>以上より</w:t>
      </w:r>
      <w:r>
        <w:rPr>
          <w:rFonts w:hint="eastAsia"/>
        </w:rPr>
        <w:t>2006</w:t>
      </w:r>
      <w:r>
        <w:rPr>
          <w:rFonts w:hint="eastAsia"/>
        </w:rPr>
        <w:t>年からの消費者金融市場における変化は、消費者信用市場及びカードローン市場には見られない固有な変化であり、また最高裁判決及び貸金業法改正を原因とする変化であることが分かる。それゆえにカードローン市場が消費者金融市場の受け皿担っているとは言いがたい。</w:t>
      </w:r>
    </w:p>
    <w:p w14:paraId="6CAF4357" w14:textId="77777777" w:rsidR="00F00E3F" w:rsidRPr="00FE0438" w:rsidRDefault="00F00E3F" w:rsidP="00F90AD9">
      <w:pPr>
        <w:rPr>
          <w:sz w:val="22"/>
        </w:rPr>
      </w:pPr>
    </w:p>
    <w:p w14:paraId="1AB74589" w14:textId="77777777" w:rsidR="00F90AD9" w:rsidRDefault="00F00E3F" w:rsidP="00E96D25">
      <w:pPr>
        <w:pStyle w:val="3"/>
      </w:pPr>
      <w:bookmarkStart w:id="8" w:name="_Toc221603815"/>
      <w:r>
        <w:rPr>
          <w:rFonts w:hint="eastAsia"/>
        </w:rPr>
        <w:t>4</w:t>
      </w:r>
      <w:r>
        <w:rPr>
          <w:rFonts w:hint="eastAsia"/>
        </w:rPr>
        <w:t>－</w:t>
      </w:r>
      <w:r>
        <w:rPr>
          <w:rFonts w:hint="eastAsia"/>
        </w:rPr>
        <w:t>3</w:t>
      </w:r>
      <w:r w:rsidR="00F90AD9">
        <w:rPr>
          <w:rFonts w:hint="eastAsia"/>
        </w:rPr>
        <w:t xml:space="preserve">　消費者金融市場全体と大手５社への最高裁判決の影響の比較</w:t>
      </w:r>
      <w:r w:rsidR="00F90AD9" w:rsidRPr="008C211A">
        <w:rPr>
          <w:rFonts w:hint="eastAsia"/>
        </w:rPr>
        <w:t>分析</w:t>
      </w:r>
      <w:bookmarkEnd w:id="8"/>
    </w:p>
    <w:p w14:paraId="2B9DB212" w14:textId="1285E7FA" w:rsidR="00F90AD9" w:rsidRDefault="00F90AD9" w:rsidP="00F90AD9">
      <w:pPr>
        <w:rPr>
          <w:rFonts w:hint="eastAsia"/>
          <w:sz w:val="22"/>
        </w:rPr>
      </w:pPr>
      <w:r>
        <w:rPr>
          <w:rFonts w:hint="eastAsia"/>
          <w:sz w:val="22"/>
        </w:rPr>
        <w:t xml:space="preserve">　</w:t>
      </w:r>
      <w:r w:rsidRPr="008C211A">
        <w:rPr>
          <w:rFonts w:hint="eastAsia"/>
          <w:sz w:val="22"/>
        </w:rPr>
        <w:t>時系列分析</w:t>
      </w:r>
      <w:r>
        <w:rPr>
          <w:rFonts w:hint="eastAsia"/>
          <w:sz w:val="22"/>
        </w:rPr>
        <w:t>法の一種である</w:t>
      </w:r>
      <w:r w:rsidRPr="008C211A">
        <w:rPr>
          <w:sz w:val="22"/>
        </w:rPr>
        <w:t>Box-Jenkins</w:t>
      </w:r>
      <w:r>
        <w:rPr>
          <w:rFonts w:hint="eastAsia"/>
          <w:sz w:val="22"/>
        </w:rPr>
        <w:t>法を用い</w:t>
      </w:r>
      <w:r>
        <w:rPr>
          <w:sz w:val="22"/>
        </w:rPr>
        <w:t>ARMAX</w:t>
      </w:r>
      <w:r>
        <w:rPr>
          <w:rFonts w:hint="eastAsia"/>
          <w:sz w:val="22"/>
        </w:rPr>
        <w:t>モデルを構築して最高裁判決の影響を推計した。具体的な手法として、まず非説明変数から説明変数への因果性がないことを確認するために</w:t>
      </w:r>
      <w:r>
        <w:rPr>
          <w:sz w:val="22"/>
        </w:rPr>
        <w:t>Granger</w:t>
      </w:r>
      <w:r>
        <w:rPr>
          <w:rFonts w:hint="eastAsia"/>
          <w:sz w:val="22"/>
        </w:rPr>
        <w:t>因果性検定を行い、その後、変数が弱定常であること確認するため</w:t>
      </w:r>
      <w:r>
        <w:rPr>
          <w:sz w:val="22"/>
        </w:rPr>
        <w:t>Augmented Dickey-Fuller</w:t>
      </w:r>
      <w:r>
        <w:rPr>
          <w:rFonts w:hint="eastAsia"/>
          <w:sz w:val="22"/>
        </w:rPr>
        <w:t>（</w:t>
      </w:r>
      <w:r>
        <w:rPr>
          <w:sz w:val="22"/>
        </w:rPr>
        <w:t>ADF</w:t>
      </w:r>
      <w:r>
        <w:rPr>
          <w:rFonts w:hint="eastAsia"/>
          <w:sz w:val="22"/>
        </w:rPr>
        <w:t>）検定を行った。そして求めた標本自己相関関数</w:t>
      </w:r>
      <w:r>
        <w:rPr>
          <w:sz w:val="22"/>
        </w:rPr>
        <w:t>(AC)</w:t>
      </w:r>
      <w:r>
        <w:rPr>
          <w:rFonts w:hint="eastAsia"/>
          <w:sz w:val="22"/>
        </w:rPr>
        <w:t>および標本偏自己相関関数</w:t>
      </w:r>
      <w:r>
        <w:rPr>
          <w:sz w:val="22"/>
        </w:rPr>
        <w:t>(PAC)</w:t>
      </w:r>
      <w:r>
        <w:rPr>
          <w:rFonts w:hint="eastAsia"/>
          <w:sz w:val="22"/>
        </w:rPr>
        <w:t>に基づいて</w:t>
      </w:r>
      <w:r>
        <w:rPr>
          <w:rFonts w:hint="eastAsia"/>
          <w:sz w:val="22"/>
        </w:rPr>
        <w:t>AR</w:t>
      </w:r>
      <w:r>
        <w:rPr>
          <w:rFonts w:hint="eastAsia"/>
          <w:sz w:val="22"/>
        </w:rPr>
        <w:t>項および</w:t>
      </w:r>
      <w:r>
        <w:rPr>
          <w:rFonts w:hint="eastAsia"/>
          <w:sz w:val="22"/>
        </w:rPr>
        <w:t>MA</w:t>
      </w:r>
      <w:r>
        <w:rPr>
          <w:rFonts w:hint="eastAsia"/>
          <w:sz w:val="22"/>
        </w:rPr>
        <w:t>項の次数を選択し、いくつかのモデルを、赤池情報量基準（</w:t>
      </w:r>
      <w:r>
        <w:rPr>
          <w:rFonts w:hint="eastAsia"/>
          <w:sz w:val="22"/>
        </w:rPr>
        <w:t>AIC</w:t>
      </w:r>
      <w:r>
        <w:rPr>
          <w:rFonts w:hint="eastAsia"/>
          <w:sz w:val="22"/>
        </w:rPr>
        <w:t>）で比較し決定した。最後に、系列相関が消滅していることを確認するため</w:t>
      </w:r>
      <w:proofErr w:type="spellStart"/>
      <w:r>
        <w:rPr>
          <w:sz w:val="22"/>
        </w:rPr>
        <w:t>Breusch</w:t>
      </w:r>
      <w:proofErr w:type="spellEnd"/>
      <w:r>
        <w:rPr>
          <w:sz w:val="22"/>
        </w:rPr>
        <w:t>-Godfrey Serial Correlation LM</w:t>
      </w:r>
      <w:r>
        <w:rPr>
          <w:rFonts w:hint="eastAsia"/>
          <w:sz w:val="22"/>
        </w:rPr>
        <w:t>検定用い、検定に通過したものを最終的なモデルとして決定した。</w:t>
      </w:r>
    </w:p>
    <w:p w14:paraId="5029ADDB" w14:textId="77777777" w:rsidR="00DC5F6A" w:rsidRDefault="00DC5F6A" w:rsidP="00F90AD9">
      <w:pPr>
        <w:rPr>
          <w:sz w:val="22"/>
        </w:rPr>
      </w:pPr>
    </w:p>
    <w:p w14:paraId="3D24B264" w14:textId="7CD9F219" w:rsidR="00DC5F6A" w:rsidRPr="00DC5F6A" w:rsidRDefault="00F00E3F" w:rsidP="00DC5F6A">
      <w:pPr>
        <w:pStyle w:val="3"/>
        <w:rPr>
          <w:rFonts w:hint="eastAsia"/>
        </w:rPr>
      </w:pPr>
      <w:bookmarkStart w:id="9" w:name="_Toc221603816"/>
      <w:r>
        <w:rPr>
          <w:rFonts w:hint="eastAsia"/>
        </w:rPr>
        <w:t>4</w:t>
      </w:r>
      <w:r>
        <w:rPr>
          <w:rFonts w:hint="eastAsia"/>
        </w:rPr>
        <w:t>－</w:t>
      </w:r>
      <w:r>
        <w:rPr>
          <w:rFonts w:hint="eastAsia"/>
        </w:rPr>
        <w:t>3</w:t>
      </w:r>
      <w:r>
        <w:rPr>
          <w:rFonts w:hint="eastAsia"/>
        </w:rPr>
        <w:t>－</w:t>
      </w:r>
      <w:r>
        <w:rPr>
          <w:rFonts w:hint="eastAsia"/>
        </w:rPr>
        <w:t>1</w:t>
      </w:r>
      <w:r w:rsidR="00F90AD9">
        <w:t xml:space="preserve"> </w:t>
      </w:r>
      <w:r w:rsidR="00DC5F6A">
        <w:rPr>
          <w:rFonts w:hint="eastAsia"/>
        </w:rPr>
        <w:t>市場全体の実証分析における</w:t>
      </w:r>
      <w:r w:rsidR="00F90AD9">
        <w:rPr>
          <w:rFonts w:hint="eastAsia"/>
        </w:rPr>
        <w:t>デー</w:t>
      </w:r>
      <w:bookmarkEnd w:id="9"/>
      <w:r w:rsidR="00DC5F6A">
        <w:rPr>
          <w:rFonts w:hint="eastAsia"/>
        </w:rPr>
        <w:t>タ</w:t>
      </w:r>
    </w:p>
    <w:p w14:paraId="35244E11" w14:textId="4630EA62" w:rsidR="00F90AD9" w:rsidRDefault="00F90AD9" w:rsidP="00F90AD9">
      <w:pPr>
        <w:rPr>
          <w:rFonts w:hint="eastAsia"/>
          <w:sz w:val="22"/>
        </w:rPr>
      </w:pPr>
      <w:r>
        <w:rPr>
          <w:rFonts w:hint="eastAsia"/>
          <w:sz w:val="22"/>
        </w:rPr>
        <w:t xml:space="preserve">　消費者金融市場全体貸付残高として、日本クレ</w:t>
      </w:r>
      <w:r w:rsidR="00AA35A7">
        <w:rPr>
          <w:rFonts w:hint="eastAsia"/>
          <w:sz w:val="22"/>
        </w:rPr>
        <w:t>ジ</w:t>
      </w:r>
      <w:r>
        <w:rPr>
          <w:rFonts w:hint="eastAsia"/>
          <w:sz w:val="22"/>
        </w:rPr>
        <w:t>ット協会発行の「平成２４年度版消費者信用統計」における消費者金融会社による信用供与残高を用いた。</w:t>
      </w:r>
      <w:r w:rsidRPr="008C211A">
        <w:rPr>
          <w:rFonts w:hint="eastAsia"/>
          <w:sz w:val="22"/>
        </w:rPr>
        <w:t>消費支出は総務省家計調査</w:t>
      </w:r>
      <w:r>
        <w:rPr>
          <w:rFonts w:hint="eastAsia"/>
          <w:sz w:val="22"/>
        </w:rPr>
        <w:t>報告における二人以上の世帯の年次</w:t>
      </w:r>
      <w:r w:rsidRPr="008C211A">
        <w:rPr>
          <w:rFonts w:hint="eastAsia"/>
          <w:sz w:val="22"/>
        </w:rPr>
        <w:t>データを</w:t>
      </w:r>
      <w:r>
        <w:rPr>
          <w:rFonts w:hint="eastAsia"/>
          <w:sz w:val="22"/>
        </w:rPr>
        <w:t>、</w:t>
      </w:r>
      <w:r w:rsidRPr="008C211A">
        <w:rPr>
          <w:rFonts w:hint="eastAsia"/>
          <w:sz w:val="22"/>
        </w:rPr>
        <w:t>GDP</w:t>
      </w:r>
      <w:r w:rsidRPr="008C211A">
        <w:rPr>
          <w:rFonts w:hint="eastAsia"/>
          <w:sz w:val="22"/>
        </w:rPr>
        <w:t>デフレーターを用いて実質化したものを使用した</w:t>
      </w:r>
      <w:r>
        <w:rPr>
          <w:rFonts w:hint="eastAsia"/>
          <w:sz w:val="22"/>
        </w:rPr>
        <w:t>サンプル数は</w:t>
      </w:r>
      <w:r>
        <w:rPr>
          <w:sz w:val="22"/>
        </w:rPr>
        <w:t>1981</w:t>
      </w:r>
      <w:r>
        <w:rPr>
          <w:rFonts w:hint="eastAsia"/>
          <w:sz w:val="22"/>
        </w:rPr>
        <w:t>年から</w:t>
      </w:r>
      <w:r>
        <w:rPr>
          <w:sz w:val="22"/>
        </w:rPr>
        <w:t>2011</w:t>
      </w:r>
      <w:r>
        <w:rPr>
          <w:rFonts w:hint="eastAsia"/>
          <w:sz w:val="22"/>
        </w:rPr>
        <w:t>年までの３１個である。</w:t>
      </w:r>
    </w:p>
    <w:p w14:paraId="099A6495" w14:textId="03115AC9" w:rsidR="00107958" w:rsidRPr="00107958" w:rsidRDefault="004E1D94" w:rsidP="00107958">
      <w:pPr>
        <w:pStyle w:val="3"/>
        <w:rPr>
          <w:rFonts w:hint="eastAsia"/>
        </w:rPr>
      </w:pPr>
      <w:bookmarkStart w:id="10" w:name="_Toc221603817"/>
      <w:r>
        <w:rPr>
          <w:rFonts w:hint="eastAsia"/>
        </w:rPr>
        <w:t>4</w:t>
      </w:r>
      <w:r>
        <w:rPr>
          <w:rFonts w:hint="eastAsia"/>
        </w:rPr>
        <w:t>－</w:t>
      </w:r>
      <w:r>
        <w:rPr>
          <w:rFonts w:hint="eastAsia"/>
        </w:rPr>
        <w:t>3</w:t>
      </w:r>
      <w:r>
        <w:rPr>
          <w:rFonts w:hint="eastAsia"/>
        </w:rPr>
        <w:t>－</w:t>
      </w:r>
      <w:r>
        <w:rPr>
          <w:rFonts w:hint="eastAsia"/>
        </w:rPr>
        <w:t>2</w:t>
      </w:r>
      <w:r w:rsidR="00F90AD9">
        <w:t xml:space="preserve"> </w:t>
      </w:r>
      <w:r w:rsidR="00DC5F6A">
        <w:rPr>
          <w:rFonts w:hint="eastAsia"/>
        </w:rPr>
        <w:t>市場全体の分析</w:t>
      </w:r>
      <w:r w:rsidR="00F90AD9">
        <w:rPr>
          <w:rFonts w:hint="eastAsia"/>
        </w:rPr>
        <w:t>モデル</w:t>
      </w:r>
      <w:bookmarkEnd w:id="10"/>
    </w:p>
    <w:p w14:paraId="7125DF87" w14:textId="77777777" w:rsidR="00F90AD9" w:rsidRDefault="00F90AD9" w:rsidP="00F90AD9">
      <w:pPr>
        <w:rPr>
          <w:sz w:val="22"/>
        </w:rPr>
      </w:pPr>
      <w:r>
        <w:rPr>
          <w:rFonts w:hint="eastAsia"/>
          <w:sz w:val="22"/>
        </w:rPr>
        <w:t xml:space="preserve">　</w:t>
      </w:r>
      <w:r>
        <w:rPr>
          <w:sz w:val="22"/>
        </w:rPr>
        <w:t>Box-Jenkins</w:t>
      </w:r>
      <w:r>
        <w:rPr>
          <w:rFonts w:hint="eastAsia"/>
          <w:sz w:val="22"/>
        </w:rPr>
        <w:t>法の手順に従ってモデル選択を行った。最終的なモデルは以下の通りである。</w:t>
      </w:r>
    </w:p>
    <w:p w14:paraId="54FD3D1F" w14:textId="77777777" w:rsidR="00F90AD9" w:rsidRDefault="00F90AD9" w:rsidP="00F90AD9">
      <w:pPr>
        <w:rPr>
          <w:rFonts w:hint="eastAsia"/>
          <w:sz w:val="22"/>
        </w:rPr>
      </w:pPr>
    </w:p>
    <w:p w14:paraId="121EAA80" w14:textId="77777777" w:rsidR="00F90AD9" w:rsidRDefault="00F90AD9" w:rsidP="00330136">
      <w:pPr>
        <w:ind w:leftChars="-135" w:left="-283"/>
        <w:jc w:val="center"/>
        <w:rPr>
          <w:sz w:val="22"/>
        </w:rPr>
      </w:pPr>
      <w:r>
        <w:rPr>
          <w:noProof/>
          <w:position w:val="-12"/>
        </w:rPr>
        <w:drawing>
          <wp:inline distT="0" distB="0" distL="0" distR="0" wp14:anchorId="49C056CD" wp14:editId="72CEE0F1">
            <wp:extent cx="6324600" cy="2571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0" cy="257175"/>
                    </a:xfrm>
                    <a:prstGeom prst="rect">
                      <a:avLst/>
                    </a:prstGeom>
                    <a:noFill/>
                    <a:ln>
                      <a:noFill/>
                    </a:ln>
                  </pic:spPr>
                </pic:pic>
              </a:graphicData>
            </a:graphic>
          </wp:inline>
        </w:drawing>
      </w:r>
      <w:r>
        <w:rPr>
          <w:position w:val="-12"/>
        </w:rPr>
        <w:tab/>
      </w:r>
      <m:oMath>
        <m:r>
          <w:rPr>
            <w:rFonts w:ascii="Cambria Math" w:hAnsi="Cambria Math"/>
            <w:sz w:val="22"/>
          </w:rPr>
          <m:t>ln</m:t>
        </m:r>
        <m:sSub>
          <m:sSubPr>
            <m:ctrlPr>
              <w:rPr>
                <w:rFonts w:ascii="Cambria Math" w:hAnsi="Cambria Math"/>
                <w:i/>
                <w:sz w:val="22"/>
              </w:rPr>
            </m:ctrlPr>
          </m:sSubPr>
          <m:e>
            <m:r>
              <w:rPr>
                <w:rFonts w:ascii="Cambria Math" w:hAnsi="Cambria Math"/>
                <w:sz w:val="22"/>
              </w:rPr>
              <m:t>zandaka</m:t>
            </m:r>
          </m:e>
          <m:sub>
            <m:r>
              <w:rPr>
                <w:rFonts w:ascii="Cambria Math" w:hAnsi="Cambria Math"/>
                <w:sz w:val="22"/>
              </w:rPr>
              <m:t>t</m:t>
            </m:r>
          </m:sub>
        </m:sSub>
      </m:oMath>
      <w:r>
        <w:rPr>
          <w:sz w:val="22"/>
        </w:rPr>
        <w:t xml:space="preserve">: </w:t>
      </w:r>
      <w:r>
        <w:rPr>
          <w:rFonts w:hint="eastAsia"/>
          <w:sz w:val="22"/>
        </w:rPr>
        <w:t>ｔ年</w:t>
      </w:r>
      <w:r w:rsidRPr="004B5F6E">
        <w:rPr>
          <w:rFonts w:hint="eastAsia"/>
          <w:sz w:val="22"/>
        </w:rPr>
        <w:t>における大手５社の貸出残高の合計（対数値）</w:t>
      </w:r>
    </w:p>
    <w:p w14:paraId="3D7FBAFB" w14:textId="77777777" w:rsidR="00F90AD9" w:rsidRDefault="00551E55" w:rsidP="00F90AD9">
      <w:pPr>
        <w:jc w:val="center"/>
        <w:rPr>
          <w:sz w:val="22"/>
        </w:rPr>
      </w:pPr>
      <m:oMath>
        <m:sSub>
          <m:sSubPr>
            <m:ctrlPr>
              <w:rPr>
                <w:rFonts w:ascii="Cambria Math" w:hAnsi="Cambria Math"/>
                <w:i/>
                <w:sz w:val="22"/>
              </w:rPr>
            </m:ctrlPr>
          </m:sSubPr>
          <m:e>
            <m:r>
              <w:rPr>
                <w:rFonts w:ascii="Cambria Math" w:hAnsi="Cambria Math"/>
                <w:sz w:val="22"/>
              </w:rPr>
              <m:t>lnrirate</m:t>
            </m:r>
          </m:e>
          <m:sub>
            <m:r>
              <w:rPr>
                <w:rFonts w:ascii="Cambria Math" w:hAnsi="Cambria Math"/>
                <w:sz w:val="22"/>
              </w:rPr>
              <m:t>t</m:t>
            </m:r>
          </m:sub>
        </m:sSub>
      </m:oMath>
      <w:r w:rsidR="00F90AD9">
        <w:rPr>
          <w:sz w:val="22"/>
        </w:rPr>
        <w:t>:</w:t>
      </w:r>
      <w:r w:rsidR="00F90AD9" w:rsidRPr="004B5F6E">
        <w:rPr>
          <w:rFonts w:hAnsi="ＭＳ Ｐゴシック" w:hint="eastAsia"/>
          <w:color w:val="000000" w:themeColor="text1"/>
          <w:kern w:val="24"/>
          <w:sz w:val="36"/>
          <w:szCs w:val="36"/>
        </w:rPr>
        <w:t xml:space="preserve"> </w:t>
      </w:r>
      <w:r w:rsidR="00F90AD9">
        <w:rPr>
          <w:rFonts w:hint="eastAsia"/>
          <w:sz w:val="22"/>
        </w:rPr>
        <w:t>ｔ年</w:t>
      </w:r>
      <w:r w:rsidR="00F90AD9" w:rsidRPr="004B5F6E">
        <w:rPr>
          <w:rFonts w:hint="eastAsia"/>
          <w:sz w:val="22"/>
        </w:rPr>
        <w:t>における大手５社の</w:t>
      </w:r>
      <w:r w:rsidR="00F90AD9">
        <w:rPr>
          <w:rFonts w:hint="eastAsia"/>
          <w:sz w:val="22"/>
        </w:rPr>
        <w:t>実質</w:t>
      </w:r>
      <w:r w:rsidR="00F90AD9" w:rsidRPr="004B5F6E">
        <w:rPr>
          <w:rFonts w:hint="eastAsia"/>
          <w:sz w:val="22"/>
        </w:rPr>
        <w:t>平均約定金利（対数値）</w:t>
      </w:r>
    </w:p>
    <w:p w14:paraId="6834F7C9" w14:textId="77777777" w:rsidR="00F90AD9" w:rsidRPr="004B5F6E" w:rsidRDefault="00551E55" w:rsidP="00F90AD9">
      <w:pPr>
        <w:jc w:val="center"/>
        <w:rPr>
          <w:rFonts w:ascii="Cambria Math" w:hAnsi="Cambria Math"/>
          <w:sz w:val="22"/>
          <w:oMath/>
        </w:rPr>
      </w:pPr>
      <m:oMathPara>
        <m:oMath>
          <m:sSub>
            <m:sSubPr>
              <m:ctrlPr>
                <w:rPr>
                  <w:rFonts w:ascii="Cambria Math" w:hAnsi="Cambria Math"/>
                  <w:i/>
                  <w:sz w:val="22"/>
                </w:rPr>
              </m:ctrlPr>
            </m:sSubPr>
            <m:e>
              <m:r>
                <w:rPr>
                  <w:rFonts w:ascii="Cambria Math" w:hAnsi="Cambria Math" w:cs="STIXGeneral-Italic"/>
                  <w:sz w:val="22"/>
                </w:rPr>
                <m:t>lnrcons</m:t>
              </m:r>
            </m:e>
            <m:sub>
              <m:r>
                <w:rPr>
                  <w:rFonts w:ascii="Cambria Math" w:hAnsi="Cambria Math"/>
                  <w:sz w:val="22"/>
                </w:rPr>
                <m:t>t</m:t>
              </m:r>
            </m:sub>
          </m:sSub>
          <m:r>
            <w:rPr>
              <w:rFonts w:ascii="Cambria Math" w:hAnsi="Cambria Math"/>
              <w:sz w:val="22"/>
            </w:rPr>
            <m:t>:</m:t>
          </m:r>
          <m:r>
            <m:rPr>
              <m:sty m:val="p"/>
            </m:rPr>
            <w:rPr>
              <w:rFonts w:ascii="Cambria Math" w:hAnsi="Cambria Math" w:hint="eastAsia"/>
              <w:sz w:val="22"/>
            </w:rPr>
            <m:t>ｔ</m:t>
          </m:r>
          <m:r>
            <m:rPr>
              <m:sty m:val="p"/>
            </m:rPr>
            <w:rPr>
              <w:rFonts w:ascii="Cambria Math" w:hAnsi="Cambria Math"/>
              <w:sz w:val="22"/>
            </w:rPr>
            <m:t>年</m:t>
          </m:r>
          <m:r>
            <m:rPr>
              <m:sty m:val="p"/>
            </m:rPr>
            <w:rPr>
              <w:rFonts w:ascii="Cambria Math" w:hAnsi="Cambria Math" w:hint="eastAsia"/>
              <w:sz w:val="22"/>
            </w:rPr>
            <m:t>における一世帯あたり一ヶ月の消費支出</m:t>
          </m:r>
          <m:r>
            <m:rPr>
              <m:sty m:val="p"/>
            </m:rPr>
            <w:rPr>
              <w:rFonts w:ascii="Cambria Math" w:hAnsi="Cambria Math"/>
              <w:sz w:val="22"/>
            </w:rPr>
            <m:t xml:space="preserve"> </m:t>
          </m:r>
          <m:r>
            <m:rPr>
              <m:sty m:val="p"/>
            </m:rPr>
            <w:rPr>
              <w:rFonts w:ascii="Cambria Math" w:hAnsi="Cambria Math" w:hint="eastAsia"/>
              <w:sz w:val="22"/>
            </w:rPr>
            <m:t>（対数値）</m:t>
          </m:r>
        </m:oMath>
      </m:oMathPara>
    </w:p>
    <w:p w14:paraId="5312DA98" w14:textId="77777777" w:rsidR="00F90AD9" w:rsidRPr="003A0466" w:rsidRDefault="00551E55" w:rsidP="00F90AD9">
      <w:pPr>
        <w:jc w:val="center"/>
        <w:rPr>
          <w:sz w:val="22"/>
        </w:rPr>
      </w:pPr>
      <m:oMath>
        <m:sSub>
          <m:sSubPr>
            <m:ctrlPr>
              <w:rPr>
                <w:rFonts w:ascii="Cambria Math" w:hAnsi="Cambria Math"/>
                <w:i/>
                <w:sz w:val="22"/>
              </w:rPr>
            </m:ctrlPr>
          </m:sSubPr>
          <m:e>
            <m:r>
              <w:rPr>
                <w:rFonts w:ascii="Cambria Math" w:hAnsi="Cambria Math"/>
                <w:sz w:val="22"/>
              </w:rPr>
              <m:t>judge</m:t>
            </m:r>
          </m:e>
          <m:sub>
            <m:r>
              <w:rPr>
                <w:rFonts w:ascii="Cambria Math" w:hAnsi="Cambria Math"/>
                <w:sz w:val="22"/>
              </w:rPr>
              <m:t>t</m:t>
            </m:r>
          </m:sub>
        </m:sSub>
        <m:r>
          <w:rPr>
            <w:rFonts w:ascii="Cambria Math" w:hAnsi="Cambria Math"/>
            <w:sz w:val="22"/>
          </w:rPr>
          <m:t>:</m:t>
        </m:r>
        <m:r>
          <w:rPr>
            <w:rFonts w:ascii="Cambria Math" w:hAnsi="Cambria Math"/>
            <w:sz w:val="22"/>
          </w:rPr>
          <m:t>判決ダミー</m:t>
        </m:r>
      </m:oMath>
      <w:r w:rsidR="00F90AD9">
        <w:rPr>
          <w:rFonts w:hint="eastAsia"/>
          <w:sz w:val="22"/>
        </w:rPr>
        <w:t>（</w:t>
      </w:r>
      <w:r w:rsidR="00F90AD9">
        <w:rPr>
          <w:sz w:val="22"/>
        </w:rPr>
        <w:t>2006</w:t>
      </w:r>
      <w:r w:rsidR="00F90AD9">
        <w:rPr>
          <w:rFonts w:hint="eastAsia"/>
          <w:sz w:val="22"/>
        </w:rPr>
        <w:t>年以降は</w:t>
      </w:r>
      <w:r w:rsidR="00F90AD9">
        <w:rPr>
          <w:sz w:val="22"/>
        </w:rPr>
        <w:t>1</w:t>
      </w:r>
      <w:r w:rsidR="00F90AD9">
        <w:rPr>
          <w:rFonts w:hint="eastAsia"/>
          <w:sz w:val="22"/>
        </w:rPr>
        <w:t>、それ以前は</w:t>
      </w:r>
      <w:r w:rsidR="00F90AD9">
        <w:rPr>
          <w:sz w:val="22"/>
        </w:rPr>
        <w:t>0</w:t>
      </w:r>
      <w:r w:rsidR="00F90AD9">
        <w:rPr>
          <w:rFonts w:hint="eastAsia"/>
          <w:sz w:val="22"/>
        </w:rPr>
        <w:t>）</w:t>
      </w:r>
    </w:p>
    <w:p w14:paraId="1558EDBC" w14:textId="77777777" w:rsidR="00F90AD9" w:rsidRPr="009B3C4E" w:rsidRDefault="00551E55" w:rsidP="00F90AD9">
      <w:pPr>
        <w:jc w:val="center"/>
        <w:rPr>
          <w:sz w:val="22"/>
        </w:rPr>
      </w:pPr>
      <m:oMathPara>
        <m:oMath>
          <m:sSub>
            <m:sSubPr>
              <m:ctrlPr>
                <w:rPr>
                  <w:rFonts w:ascii="Cambria Math" w:hAnsi="Cambria Math"/>
                  <w:i/>
                  <w:sz w:val="22"/>
                </w:rPr>
              </m:ctrlPr>
            </m:sSubPr>
            <m:e>
              <m:r>
                <w:rPr>
                  <w:rFonts w:ascii="Cambria Math" w:hAnsi="Cambria Math"/>
                  <w:sz w:val="22"/>
                </w:rPr>
                <m:t>ε</m:t>
              </m:r>
            </m:e>
            <m:sub>
              <m:r>
                <w:rPr>
                  <w:rFonts w:ascii="Cambria Math" w:hAnsi="Cambria Math"/>
                  <w:sz w:val="22"/>
                </w:rPr>
                <m:t>t</m:t>
              </m:r>
            </m:sub>
          </m:sSub>
          <m:r>
            <w:rPr>
              <w:rFonts w:ascii="Cambria Math" w:hAnsi="Cambria Math"/>
              <w:sz w:val="22"/>
            </w:rPr>
            <m:t>：</m:t>
          </m:r>
          <m:r>
            <m:rPr>
              <m:sty m:val="p"/>
            </m:rPr>
            <w:rPr>
              <w:rFonts w:ascii="Cambria Math" w:hAnsi="Cambria Math"/>
              <w:sz w:val="22"/>
            </w:rPr>
            <m:t>誤差項</m:t>
          </m:r>
        </m:oMath>
      </m:oMathPara>
    </w:p>
    <w:p w14:paraId="7FBC3B4C" w14:textId="36211A2B" w:rsidR="00E96D25" w:rsidRDefault="00F90AD9" w:rsidP="00E63071">
      <w:pPr>
        <w:ind w:leftChars="-177" w:left="-372"/>
        <w:jc w:val="center"/>
        <w:rPr>
          <w:position w:val="-12"/>
          <w:sz w:val="22"/>
        </w:rPr>
      </w:pPr>
      <w:r>
        <w:rPr>
          <w:rFonts w:hint="eastAsia"/>
          <w:position w:val="-12"/>
          <w:sz w:val="22"/>
        </w:rPr>
        <w:t>Δは１階階差を表す</w:t>
      </w:r>
    </w:p>
    <w:p w14:paraId="7ED95D40" w14:textId="77777777" w:rsidR="00961B4B" w:rsidRDefault="00961B4B" w:rsidP="00E63071">
      <w:pPr>
        <w:ind w:leftChars="-177" w:left="-372"/>
        <w:jc w:val="center"/>
        <w:rPr>
          <w:rFonts w:hint="eastAsia"/>
          <w:position w:val="-12"/>
          <w:sz w:val="22"/>
        </w:rPr>
      </w:pPr>
    </w:p>
    <w:p w14:paraId="73DB5C2E" w14:textId="77777777" w:rsidR="00961B4B" w:rsidRPr="00E63071" w:rsidRDefault="00961B4B" w:rsidP="00E63071">
      <w:pPr>
        <w:ind w:leftChars="-177" w:left="-372"/>
        <w:jc w:val="center"/>
        <w:rPr>
          <w:rFonts w:hint="eastAsia"/>
          <w:position w:val="-12"/>
          <w:sz w:val="22"/>
        </w:rPr>
      </w:pPr>
    </w:p>
    <w:p w14:paraId="53CF264E" w14:textId="3F23C44C" w:rsidR="00F90AD9" w:rsidRDefault="004E1D94" w:rsidP="00E96D25">
      <w:pPr>
        <w:pStyle w:val="3"/>
      </w:pPr>
      <w:bookmarkStart w:id="11" w:name="_Toc221603818"/>
      <w:r>
        <w:rPr>
          <w:rFonts w:hint="eastAsia"/>
        </w:rPr>
        <w:t>4</w:t>
      </w:r>
      <w:r>
        <w:rPr>
          <w:rFonts w:hint="eastAsia"/>
        </w:rPr>
        <w:t>－</w:t>
      </w:r>
      <w:r>
        <w:rPr>
          <w:rFonts w:hint="eastAsia"/>
        </w:rPr>
        <w:t>3</w:t>
      </w:r>
      <w:r>
        <w:rPr>
          <w:rFonts w:hint="eastAsia"/>
        </w:rPr>
        <w:t>－</w:t>
      </w:r>
      <w:r>
        <w:rPr>
          <w:rFonts w:hint="eastAsia"/>
        </w:rPr>
        <w:t>3</w:t>
      </w:r>
      <w:r w:rsidR="00F90AD9">
        <w:t xml:space="preserve"> </w:t>
      </w:r>
      <w:r w:rsidR="00DC5F6A">
        <w:rPr>
          <w:rFonts w:hint="eastAsia"/>
        </w:rPr>
        <w:t>市場全体</w:t>
      </w:r>
      <w:r w:rsidR="00F90AD9">
        <w:rPr>
          <w:rFonts w:hint="eastAsia"/>
        </w:rPr>
        <w:t>推計結果</w:t>
      </w:r>
      <w:bookmarkEnd w:id="11"/>
    </w:p>
    <w:p w14:paraId="4CFD6895" w14:textId="77777777" w:rsidR="00F90AD9" w:rsidRDefault="00F90AD9" w:rsidP="00F90AD9">
      <w:pPr>
        <w:jc w:val="left"/>
        <w:rPr>
          <w:rFonts w:hint="eastAsia"/>
          <w:position w:val="-12"/>
          <w:sz w:val="22"/>
        </w:rPr>
      </w:pPr>
      <w:r>
        <w:rPr>
          <w:rFonts w:hint="eastAsia"/>
          <w:position w:val="-12"/>
          <w:sz w:val="22"/>
        </w:rPr>
        <w:t xml:space="preserve">　以上のモデルを用いて推計されたパラメータは以下の通りである。</w:t>
      </w:r>
    </w:p>
    <w:p w14:paraId="416C3B56" w14:textId="77777777" w:rsidR="00961B4B" w:rsidRDefault="00961B4B" w:rsidP="00F90AD9">
      <w:pPr>
        <w:jc w:val="left"/>
        <w:rPr>
          <w:position w:val="-12"/>
          <w:sz w:val="22"/>
        </w:rPr>
      </w:pPr>
    </w:p>
    <w:p w14:paraId="35DE4CAE" w14:textId="2C306EAD" w:rsidR="00DC5F6A" w:rsidRDefault="00901E17" w:rsidP="00DC5F6A">
      <w:pPr>
        <w:jc w:val="center"/>
        <w:rPr>
          <w:position w:val="-12"/>
          <w:sz w:val="22"/>
        </w:rPr>
      </w:pPr>
      <w:r>
        <w:rPr>
          <w:rFonts w:hint="eastAsia"/>
          <w:position w:val="-12"/>
          <w:sz w:val="22"/>
        </w:rPr>
        <w:lastRenderedPageBreak/>
        <w:t>表</w:t>
      </w:r>
      <w:r w:rsidR="007C2ACC">
        <w:rPr>
          <w:rFonts w:hint="eastAsia"/>
          <w:position w:val="-12"/>
          <w:sz w:val="22"/>
        </w:rPr>
        <w:t>4</w:t>
      </w:r>
      <w:r w:rsidR="007C2ACC">
        <w:rPr>
          <w:rFonts w:hint="eastAsia"/>
          <w:position w:val="-12"/>
          <w:sz w:val="22"/>
        </w:rPr>
        <w:t>−</w:t>
      </w:r>
      <w:r>
        <w:rPr>
          <w:rFonts w:hint="eastAsia"/>
          <w:position w:val="-12"/>
          <w:sz w:val="22"/>
        </w:rPr>
        <w:t>１</w:t>
      </w:r>
      <w:r w:rsidR="00DC5F6A">
        <w:rPr>
          <w:rFonts w:hint="eastAsia"/>
          <w:position w:val="-12"/>
          <w:sz w:val="22"/>
        </w:rPr>
        <w:t xml:space="preserve">　市場全体の推計結果</w:t>
      </w:r>
    </w:p>
    <w:tbl>
      <w:tblPr>
        <w:tblStyle w:val="4"/>
        <w:tblW w:w="0" w:type="auto"/>
        <w:tblLook w:val="04A0" w:firstRow="1" w:lastRow="0" w:firstColumn="1" w:lastColumn="0" w:noHBand="0" w:noVBand="1"/>
      </w:tblPr>
      <w:tblGrid>
        <w:gridCol w:w="2174"/>
        <w:gridCol w:w="2174"/>
        <w:gridCol w:w="2174"/>
        <w:gridCol w:w="2174"/>
      </w:tblGrid>
      <w:tr w:rsidR="00F90AD9" w14:paraId="7BB8DF2C" w14:textId="77777777" w:rsidTr="00025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30A20BB3" w14:textId="77777777" w:rsidR="00F90AD9" w:rsidRDefault="00F90AD9" w:rsidP="0002524F">
            <w:pPr>
              <w:jc w:val="left"/>
              <w:rPr>
                <w:sz w:val="22"/>
                <w:szCs w:val="22"/>
              </w:rPr>
            </w:pPr>
            <w:r>
              <w:rPr>
                <w:rFonts w:hint="eastAsia"/>
                <w:sz w:val="22"/>
                <w:szCs w:val="22"/>
              </w:rPr>
              <w:t>変数</w:t>
            </w:r>
          </w:p>
        </w:tc>
        <w:tc>
          <w:tcPr>
            <w:tcW w:w="2174" w:type="dxa"/>
          </w:tcPr>
          <w:p w14:paraId="53A79743" w14:textId="77777777" w:rsidR="00F90AD9" w:rsidRDefault="00F90AD9" w:rsidP="0002524F">
            <w:pPr>
              <w:jc w:val="left"/>
              <w:cnfStyle w:val="100000000000" w:firstRow="1" w:lastRow="0" w:firstColumn="0" w:lastColumn="0" w:oddVBand="0" w:evenVBand="0" w:oddHBand="0" w:evenHBand="0" w:firstRowFirstColumn="0" w:firstRowLastColumn="0" w:lastRowFirstColumn="0" w:lastRowLastColumn="0"/>
              <w:rPr>
                <w:sz w:val="22"/>
                <w:szCs w:val="22"/>
              </w:rPr>
            </w:pPr>
            <w:r>
              <w:rPr>
                <w:rFonts w:hint="eastAsia"/>
                <w:sz w:val="22"/>
                <w:szCs w:val="22"/>
              </w:rPr>
              <w:t>係数</w:t>
            </w:r>
          </w:p>
        </w:tc>
        <w:tc>
          <w:tcPr>
            <w:tcW w:w="2174" w:type="dxa"/>
          </w:tcPr>
          <w:p w14:paraId="5F62B8E2" w14:textId="77777777" w:rsidR="00F90AD9" w:rsidRDefault="00F90AD9" w:rsidP="0002524F">
            <w:pPr>
              <w:jc w:val="left"/>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w:t>
            </w:r>
            <w:r>
              <w:rPr>
                <w:rFonts w:hint="eastAsia"/>
                <w:sz w:val="22"/>
                <w:szCs w:val="22"/>
              </w:rPr>
              <w:t>値</w:t>
            </w:r>
          </w:p>
        </w:tc>
        <w:tc>
          <w:tcPr>
            <w:tcW w:w="2174" w:type="dxa"/>
          </w:tcPr>
          <w:p w14:paraId="695BA43E" w14:textId="77777777" w:rsidR="00F90AD9" w:rsidRDefault="00F90AD9" w:rsidP="0002524F">
            <w:pPr>
              <w:jc w:val="left"/>
              <w:cnfStyle w:val="100000000000" w:firstRow="1" w:lastRow="0" w:firstColumn="0" w:lastColumn="0" w:oddVBand="0" w:evenVBand="0" w:oddHBand="0" w:evenHBand="0" w:firstRowFirstColumn="0" w:firstRowLastColumn="0" w:lastRowFirstColumn="0" w:lastRowLastColumn="0"/>
              <w:rPr>
                <w:sz w:val="22"/>
                <w:szCs w:val="22"/>
              </w:rPr>
            </w:pPr>
            <w:r>
              <w:rPr>
                <w:rFonts w:hint="eastAsia"/>
                <w:sz w:val="22"/>
                <w:szCs w:val="22"/>
              </w:rPr>
              <w:t>判定</w:t>
            </w:r>
          </w:p>
        </w:tc>
      </w:tr>
      <w:tr w:rsidR="00F90AD9" w14:paraId="682ABA87" w14:textId="77777777" w:rsidTr="0002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7E569676" w14:textId="77777777" w:rsidR="00F90AD9" w:rsidRPr="00903F68" w:rsidRDefault="00F90AD9" w:rsidP="0002524F">
            <w:pPr>
              <w:jc w:val="left"/>
              <w:rPr>
                <w:b w:val="0"/>
                <w:sz w:val="22"/>
                <w:szCs w:val="22"/>
              </w:rPr>
            </w:pPr>
            <w:proofErr w:type="spellStart"/>
            <w:r w:rsidRPr="00903F68">
              <w:rPr>
                <w:rFonts w:cs="Kefa"/>
                <w:b w:val="0"/>
                <w:sz w:val="22"/>
                <w:szCs w:val="22"/>
              </w:rPr>
              <w:t>Δ</w:t>
            </w:r>
            <w:r w:rsidRPr="00903F68">
              <w:rPr>
                <w:b w:val="0"/>
                <w:sz w:val="22"/>
                <w:szCs w:val="22"/>
              </w:rPr>
              <w:t>lnrirate</w:t>
            </w:r>
            <w:proofErr w:type="spellEnd"/>
          </w:p>
        </w:tc>
        <w:tc>
          <w:tcPr>
            <w:tcW w:w="2174" w:type="dxa"/>
          </w:tcPr>
          <w:p w14:paraId="5AD73A41"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0.135</w:t>
            </w:r>
          </w:p>
        </w:tc>
        <w:tc>
          <w:tcPr>
            <w:tcW w:w="2174" w:type="dxa"/>
          </w:tcPr>
          <w:p w14:paraId="0DE2C687"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0.702</w:t>
            </w:r>
          </w:p>
        </w:tc>
        <w:tc>
          <w:tcPr>
            <w:tcW w:w="2174" w:type="dxa"/>
          </w:tcPr>
          <w:p w14:paraId="4FE6E6A2"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F90AD9" w14:paraId="019AB5D5" w14:textId="77777777" w:rsidTr="000252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4A42B98A" w14:textId="77777777" w:rsidR="00F90AD9" w:rsidRPr="00903F68" w:rsidRDefault="00F90AD9" w:rsidP="0002524F">
            <w:pPr>
              <w:jc w:val="left"/>
              <w:rPr>
                <w:b w:val="0"/>
                <w:sz w:val="22"/>
                <w:szCs w:val="22"/>
              </w:rPr>
            </w:pPr>
            <w:proofErr w:type="spellStart"/>
            <w:r w:rsidRPr="00903F68">
              <w:rPr>
                <w:rFonts w:cs="Kefa"/>
                <w:b w:val="0"/>
                <w:sz w:val="22"/>
                <w:szCs w:val="22"/>
              </w:rPr>
              <w:t>Δ</w:t>
            </w:r>
            <w:r w:rsidRPr="00903F68">
              <w:rPr>
                <w:b w:val="0"/>
                <w:sz w:val="22"/>
                <w:szCs w:val="22"/>
              </w:rPr>
              <w:t>lncons</w:t>
            </w:r>
            <w:proofErr w:type="spellEnd"/>
          </w:p>
        </w:tc>
        <w:tc>
          <w:tcPr>
            <w:tcW w:w="2174" w:type="dxa"/>
          </w:tcPr>
          <w:p w14:paraId="7CD4BD91"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-1.106</w:t>
            </w:r>
          </w:p>
        </w:tc>
        <w:tc>
          <w:tcPr>
            <w:tcW w:w="2174" w:type="dxa"/>
          </w:tcPr>
          <w:p w14:paraId="08796D19"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-1.169</w:t>
            </w:r>
          </w:p>
        </w:tc>
        <w:tc>
          <w:tcPr>
            <w:tcW w:w="2174" w:type="dxa"/>
          </w:tcPr>
          <w:p w14:paraId="355B10A7"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p>
        </w:tc>
      </w:tr>
      <w:tr w:rsidR="00F90AD9" w14:paraId="2121E1E5" w14:textId="77777777" w:rsidTr="0002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273E53B8" w14:textId="77777777" w:rsidR="00F90AD9" w:rsidRPr="00903F68" w:rsidRDefault="004E1D94" w:rsidP="0002524F">
            <w:pPr>
              <w:jc w:val="left"/>
              <w:rPr>
                <w:b w:val="0"/>
                <w:sz w:val="22"/>
                <w:szCs w:val="22"/>
              </w:rPr>
            </w:pPr>
            <w:r>
              <w:rPr>
                <w:b w:val="0"/>
                <w:sz w:val="22"/>
                <w:szCs w:val="22"/>
              </w:rPr>
              <w:t>J</w:t>
            </w:r>
            <w:r w:rsidR="00F90AD9">
              <w:rPr>
                <w:b w:val="0"/>
                <w:sz w:val="22"/>
                <w:szCs w:val="22"/>
              </w:rPr>
              <w:t>udge</w:t>
            </w:r>
          </w:p>
        </w:tc>
        <w:tc>
          <w:tcPr>
            <w:tcW w:w="2174" w:type="dxa"/>
          </w:tcPr>
          <w:p w14:paraId="1D1E7B2F"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-0.368</w:t>
            </w:r>
          </w:p>
        </w:tc>
        <w:tc>
          <w:tcPr>
            <w:tcW w:w="2174" w:type="dxa"/>
          </w:tcPr>
          <w:p w14:paraId="3568880A"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-2.248</w:t>
            </w:r>
          </w:p>
        </w:tc>
        <w:tc>
          <w:tcPr>
            <w:tcW w:w="2174" w:type="dxa"/>
          </w:tcPr>
          <w:p w14:paraId="0637AE2F"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F90AD9" w14:paraId="12C1D3FD" w14:textId="77777777" w:rsidTr="000252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2BE3D719" w14:textId="77777777" w:rsidR="00F90AD9" w:rsidRPr="00903F68" w:rsidRDefault="00F90AD9" w:rsidP="0002524F">
            <w:pPr>
              <w:jc w:val="left"/>
              <w:rPr>
                <w:b w:val="0"/>
                <w:sz w:val="22"/>
                <w:szCs w:val="22"/>
              </w:rPr>
            </w:pPr>
            <w:r>
              <w:rPr>
                <w:b w:val="0"/>
                <w:sz w:val="22"/>
                <w:szCs w:val="22"/>
              </w:rPr>
              <w:t>AR(2)</w:t>
            </w:r>
          </w:p>
        </w:tc>
        <w:tc>
          <w:tcPr>
            <w:tcW w:w="2174" w:type="dxa"/>
          </w:tcPr>
          <w:p w14:paraId="5EBFA9CE"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0.268</w:t>
            </w:r>
          </w:p>
        </w:tc>
        <w:tc>
          <w:tcPr>
            <w:tcW w:w="2174" w:type="dxa"/>
          </w:tcPr>
          <w:p w14:paraId="79E227DD"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1.404</w:t>
            </w:r>
          </w:p>
        </w:tc>
        <w:tc>
          <w:tcPr>
            <w:tcW w:w="2174" w:type="dxa"/>
          </w:tcPr>
          <w:p w14:paraId="742035EE"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p>
        </w:tc>
      </w:tr>
      <w:tr w:rsidR="00F90AD9" w14:paraId="23E63A53" w14:textId="77777777" w:rsidTr="0002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30EE535F" w14:textId="77777777" w:rsidR="00F90AD9" w:rsidRPr="00903F68" w:rsidRDefault="00F90AD9" w:rsidP="0002524F">
            <w:pPr>
              <w:jc w:val="left"/>
              <w:rPr>
                <w:b w:val="0"/>
                <w:sz w:val="22"/>
                <w:szCs w:val="22"/>
              </w:rPr>
            </w:pPr>
            <w:r w:rsidRPr="00903F68">
              <w:rPr>
                <w:b w:val="0"/>
                <w:sz w:val="22"/>
                <w:szCs w:val="22"/>
              </w:rPr>
              <w:t>MA(1)</w:t>
            </w:r>
          </w:p>
        </w:tc>
        <w:tc>
          <w:tcPr>
            <w:tcW w:w="2174" w:type="dxa"/>
          </w:tcPr>
          <w:p w14:paraId="420141C6"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2.982</w:t>
            </w:r>
          </w:p>
        </w:tc>
        <w:tc>
          <w:tcPr>
            <w:tcW w:w="2174" w:type="dxa"/>
          </w:tcPr>
          <w:p w14:paraId="45450FBD"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32.738</w:t>
            </w:r>
          </w:p>
        </w:tc>
        <w:tc>
          <w:tcPr>
            <w:tcW w:w="2174" w:type="dxa"/>
          </w:tcPr>
          <w:p w14:paraId="05799217"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F90AD9" w14:paraId="54494019" w14:textId="77777777" w:rsidTr="000252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52583DF2" w14:textId="77777777" w:rsidR="00F90AD9" w:rsidRDefault="00F90AD9" w:rsidP="0002524F">
            <w:pPr>
              <w:jc w:val="left"/>
              <w:rPr>
                <w:sz w:val="22"/>
                <w:szCs w:val="22"/>
              </w:rPr>
            </w:pPr>
            <w:r>
              <w:rPr>
                <w:sz w:val="22"/>
                <w:szCs w:val="22"/>
              </w:rPr>
              <w:t>C</w:t>
            </w:r>
          </w:p>
        </w:tc>
        <w:tc>
          <w:tcPr>
            <w:tcW w:w="2174" w:type="dxa"/>
          </w:tcPr>
          <w:p w14:paraId="1E4D44CF"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0.958</w:t>
            </w:r>
          </w:p>
        </w:tc>
        <w:tc>
          <w:tcPr>
            <w:tcW w:w="2174" w:type="dxa"/>
          </w:tcPr>
          <w:p w14:paraId="15556F27"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1.302</w:t>
            </w:r>
          </w:p>
        </w:tc>
        <w:tc>
          <w:tcPr>
            <w:tcW w:w="2174" w:type="dxa"/>
          </w:tcPr>
          <w:p w14:paraId="0995D641"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p>
        </w:tc>
      </w:tr>
    </w:tbl>
    <w:tbl>
      <w:tblPr>
        <w:tblStyle w:val="af1"/>
        <w:tblW w:w="0" w:type="auto"/>
        <w:tblLook w:val="04A0" w:firstRow="1" w:lastRow="0" w:firstColumn="1" w:lastColumn="0" w:noHBand="0" w:noVBand="1"/>
      </w:tblPr>
      <w:tblGrid>
        <w:gridCol w:w="2174"/>
        <w:gridCol w:w="2174"/>
        <w:gridCol w:w="2174"/>
        <w:gridCol w:w="2174"/>
      </w:tblGrid>
      <w:tr w:rsidR="00F90AD9" w14:paraId="7F6C4C9D" w14:textId="77777777" w:rsidTr="0002524F">
        <w:tc>
          <w:tcPr>
            <w:tcW w:w="2174" w:type="dxa"/>
          </w:tcPr>
          <w:p w14:paraId="192CD9AC" w14:textId="77777777" w:rsidR="00F90AD9" w:rsidRDefault="00F90AD9" w:rsidP="0002524F">
            <w:pPr>
              <w:jc w:val="left"/>
              <w:rPr>
                <w:sz w:val="22"/>
              </w:rPr>
            </w:pPr>
          </w:p>
        </w:tc>
        <w:tc>
          <w:tcPr>
            <w:tcW w:w="2174" w:type="dxa"/>
          </w:tcPr>
          <w:p w14:paraId="68A7661C" w14:textId="77777777" w:rsidR="00F90AD9" w:rsidRDefault="00F90AD9" w:rsidP="0002524F">
            <w:pPr>
              <w:jc w:val="left"/>
              <w:rPr>
                <w:sz w:val="22"/>
              </w:rPr>
            </w:pPr>
          </w:p>
        </w:tc>
        <w:tc>
          <w:tcPr>
            <w:tcW w:w="2174" w:type="dxa"/>
          </w:tcPr>
          <w:p w14:paraId="79053D13" w14:textId="77777777" w:rsidR="00F90AD9" w:rsidRDefault="00F90AD9" w:rsidP="0002524F">
            <w:pPr>
              <w:jc w:val="left"/>
              <w:rPr>
                <w:sz w:val="22"/>
              </w:rPr>
            </w:pPr>
            <w:proofErr w:type="spellStart"/>
            <w:r>
              <w:rPr>
                <w:rFonts w:hint="eastAsia"/>
                <w:sz w:val="22"/>
              </w:rPr>
              <w:t>Adj</w:t>
            </w:r>
            <w:proofErr w:type="spellEnd"/>
            <w:r>
              <w:rPr>
                <w:rFonts w:hint="eastAsia"/>
                <w:sz w:val="22"/>
              </w:rPr>
              <w:t xml:space="preserve"> R-</w:t>
            </w:r>
            <w:r>
              <w:rPr>
                <w:sz w:val="22"/>
              </w:rPr>
              <w:t>squared</w:t>
            </w:r>
          </w:p>
          <w:p w14:paraId="5904FA3C" w14:textId="77777777" w:rsidR="00F90AD9" w:rsidRDefault="00F90AD9" w:rsidP="0002524F">
            <w:pPr>
              <w:jc w:val="left"/>
              <w:rPr>
                <w:sz w:val="22"/>
              </w:rPr>
            </w:pPr>
            <w:r>
              <w:rPr>
                <w:sz w:val="22"/>
              </w:rPr>
              <w:t>0.772</w:t>
            </w:r>
          </w:p>
        </w:tc>
        <w:tc>
          <w:tcPr>
            <w:tcW w:w="2174" w:type="dxa"/>
          </w:tcPr>
          <w:p w14:paraId="2F00C536" w14:textId="77777777" w:rsidR="00F90AD9" w:rsidRDefault="00F90AD9" w:rsidP="0002524F">
            <w:pPr>
              <w:jc w:val="left"/>
              <w:rPr>
                <w:sz w:val="22"/>
              </w:rPr>
            </w:pPr>
            <w:r>
              <w:rPr>
                <w:sz w:val="22"/>
              </w:rPr>
              <w:t>AIC</w:t>
            </w:r>
          </w:p>
          <w:p w14:paraId="4B9A744B" w14:textId="77777777" w:rsidR="00F90AD9" w:rsidRDefault="00F90AD9" w:rsidP="0002524F">
            <w:pPr>
              <w:jc w:val="left"/>
              <w:rPr>
                <w:sz w:val="22"/>
              </w:rPr>
            </w:pPr>
            <w:r>
              <w:rPr>
                <w:sz w:val="22"/>
              </w:rPr>
              <w:t>-2.502</w:t>
            </w:r>
          </w:p>
        </w:tc>
      </w:tr>
    </w:tbl>
    <w:p w14:paraId="78C42E66" w14:textId="77777777" w:rsidR="00F90AD9" w:rsidRDefault="00F90AD9" w:rsidP="00F90AD9">
      <w:pPr>
        <w:jc w:val="left"/>
        <w:rPr>
          <w:position w:val="-12"/>
          <w:sz w:val="22"/>
        </w:rPr>
      </w:pPr>
      <w:r>
        <w:rPr>
          <w:rFonts w:hint="eastAsia"/>
          <w:sz w:val="22"/>
        </w:rPr>
        <w:t xml:space="preserve">　　　　　　　　　　　　　　　　</w:t>
      </w:r>
      <w:r>
        <w:rPr>
          <w:sz w:val="22"/>
        </w:rPr>
        <w:t>* 1%</w:t>
      </w:r>
      <w:r>
        <w:rPr>
          <w:rFonts w:hint="eastAsia"/>
          <w:sz w:val="22"/>
        </w:rPr>
        <w:t>有意は</w:t>
      </w:r>
      <w:r>
        <w:rPr>
          <w:sz w:val="22"/>
        </w:rPr>
        <w:t>***</w:t>
      </w:r>
      <w:r>
        <w:rPr>
          <w:rFonts w:hint="eastAsia"/>
          <w:sz w:val="22"/>
        </w:rPr>
        <w:t>、</w:t>
      </w:r>
      <w:r>
        <w:rPr>
          <w:sz w:val="22"/>
        </w:rPr>
        <w:t>5%</w:t>
      </w:r>
      <w:r>
        <w:rPr>
          <w:rFonts w:hint="eastAsia"/>
          <w:sz w:val="22"/>
        </w:rPr>
        <w:t>有意は</w:t>
      </w:r>
      <w:r>
        <w:rPr>
          <w:sz w:val="22"/>
        </w:rPr>
        <w:t>**</w:t>
      </w:r>
      <w:r>
        <w:rPr>
          <w:rFonts w:hint="eastAsia"/>
          <w:sz w:val="22"/>
        </w:rPr>
        <w:t>、</w:t>
      </w:r>
      <w:r>
        <w:rPr>
          <w:sz w:val="22"/>
        </w:rPr>
        <w:t>10%</w:t>
      </w:r>
      <w:r>
        <w:rPr>
          <w:rFonts w:hint="eastAsia"/>
          <w:sz w:val="22"/>
        </w:rPr>
        <w:t>有意は</w:t>
      </w:r>
      <w:r>
        <w:rPr>
          <w:sz w:val="22"/>
        </w:rPr>
        <w:t>*</w:t>
      </w:r>
      <w:r>
        <w:rPr>
          <w:rFonts w:hint="eastAsia"/>
          <w:sz w:val="22"/>
        </w:rPr>
        <w:t>で表す</w:t>
      </w:r>
    </w:p>
    <w:p w14:paraId="1934F991" w14:textId="77777777" w:rsidR="00F90AD9" w:rsidRDefault="00F90AD9" w:rsidP="00F90AD9">
      <w:pPr>
        <w:jc w:val="left"/>
        <w:rPr>
          <w:position w:val="-12"/>
          <w:sz w:val="22"/>
        </w:rPr>
      </w:pPr>
      <w:r>
        <w:rPr>
          <w:rFonts w:hint="eastAsia"/>
          <w:position w:val="-12"/>
          <w:sz w:val="22"/>
        </w:rPr>
        <w:t>判決ダミーのみ</w:t>
      </w:r>
      <w:r>
        <w:rPr>
          <w:position w:val="-12"/>
          <w:sz w:val="22"/>
        </w:rPr>
        <w:t>5%</w:t>
      </w:r>
      <w:r>
        <w:rPr>
          <w:rFonts w:hint="eastAsia"/>
          <w:position w:val="-12"/>
          <w:sz w:val="22"/>
        </w:rPr>
        <w:t>水準で有意な結果を得た。</w:t>
      </w:r>
    </w:p>
    <w:p w14:paraId="2056E28E" w14:textId="77777777" w:rsidR="00F90AD9" w:rsidRDefault="00F90AD9" w:rsidP="00F90AD9">
      <w:pPr>
        <w:jc w:val="left"/>
        <w:rPr>
          <w:rFonts w:hint="eastAsia"/>
          <w:position w:val="-12"/>
          <w:sz w:val="22"/>
        </w:rPr>
      </w:pPr>
    </w:p>
    <w:p w14:paraId="403E21E0" w14:textId="522A62F9" w:rsidR="00F90AD9" w:rsidRPr="008C211A" w:rsidRDefault="004E1D94" w:rsidP="00E96D25">
      <w:pPr>
        <w:pStyle w:val="3"/>
      </w:pPr>
      <w:bookmarkStart w:id="12" w:name="_Toc221603819"/>
      <w:r>
        <w:rPr>
          <w:rFonts w:hint="eastAsia"/>
        </w:rPr>
        <w:t>4</w:t>
      </w:r>
      <w:r>
        <w:rPr>
          <w:rFonts w:hint="eastAsia"/>
        </w:rPr>
        <w:t>－</w:t>
      </w:r>
      <w:r>
        <w:rPr>
          <w:rFonts w:hint="eastAsia"/>
        </w:rPr>
        <w:t>3</w:t>
      </w:r>
      <w:r>
        <w:rPr>
          <w:rFonts w:hint="eastAsia"/>
        </w:rPr>
        <w:t>－</w:t>
      </w:r>
      <w:r>
        <w:rPr>
          <w:rFonts w:hint="eastAsia"/>
        </w:rPr>
        <w:t>4</w:t>
      </w:r>
      <w:r w:rsidR="00F90AD9">
        <w:t xml:space="preserve"> </w:t>
      </w:r>
      <w:r w:rsidR="00DC5F6A">
        <w:rPr>
          <w:rFonts w:hint="eastAsia"/>
        </w:rPr>
        <w:t xml:space="preserve">　大手５社分析</w:t>
      </w:r>
      <w:r w:rsidR="00F90AD9" w:rsidRPr="008C211A">
        <w:rPr>
          <w:rFonts w:hint="eastAsia"/>
        </w:rPr>
        <w:t>データ</w:t>
      </w:r>
      <w:bookmarkEnd w:id="12"/>
    </w:p>
    <w:p w14:paraId="2AA6625F" w14:textId="77777777" w:rsidR="00F90AD9" w:rsidRDefault="00F90AD9" w:rsidP="00F90AD9">
      <w:pPr>
        <w:rPr>
          <w:sz w:val="22"/>
        </w:rPr>
      </w:pPr>
      <w:r w:rsidRPr="008C211A">
        <w:rPr>
          <w:rFonts w:hint="eastAsia"/>
          <w:sz w:val="22"/>
        </w:rPr>
        <w:t xml:space="preserve">　貸付残高、平均約定金利については消費者金融大手５社（アコム、アイフル、武富士、プロミス、三洋信販）の平成１０年度半期から平成２４年度半期</w:t>
      </w:r>
      <w:r w:rsidRPr="008C211A">
        <w:rPr>
          <w:rStyle w:val="af"/>
          <w:sz w:val="22"/>
        </w:rPr>
        <w:footnoteReference w:id="8"/>
      </w:r>
      <w:r w:rsidRPr="008C211A">
        <w:rPr>
          <w:rFonts w:hint="eastAsia"/>
          <w:sz w:val="22"/>
        </w:rPr>
        <w:t>までの有価証券報告書、半期報告書、四半期報告書を使用した。貸付残高は５社の合計、約定金利は５社の平均した値を用いた。また平均約定金利は</w:t>
      </w:r>
      <w:r w:rsidRPr="008C211A">
        <w:rPr>
          <w:sz w:val="22"/>
        </w:rPr>
        <w:t>CPI</w:t>
      </w:r>
      <w:r w:rsidRPr="008C211A">
        <w:rPr>
          <w:rFonts w:hint="eastAsia"/>
          <w:sz w:val="22"/>
        </w:rPr>
        <w:t>月次前年同月比を用いて実質化した。消費支出は総務省家計調査報告における二人以上の世帯の月次データを</w:t>
      </w:r>
      <w:r w:rsidRPr="008C211A">
        <w:rPr>
          <w:rFonts w:hint="eastAsia"/>
          <w:sz w:val="22"/>
        </w:rPr>
        <w:t>GDP</w:t>
      </w:r>
      <w:r w:rsidRPr="008C211A">
        <w:rPr>
          <w:rFonts w:hint="eastAsia"/>
          <w:sz w:val="22"/>
        </w:rPr>
        <w:t>デフレーターを用いて実質化したものを使用した。</w:t>
      </w:r>
      <w:r>
        <w:rPr>
          <w:rFonts w:hint="eastAsia"/>
          <w:sz w:val="22"/>
        </w:rPr>
        <w:t>サンプル数は</w:t>
      </w:r>
      <w:r>
        <w:rPr>
          <w:sz w:val="22"/>
        </w:rPr>
        <w:t>1998</w:t>
      </w:r>
      <w:r>
        <w:rPr>
          <w:rFonts w:hint="eastAsia"/>
          <w:sz w:val="22"/>
        </w:rPr>
        <w:t>年</w:t>
      </w:r>
      <w:r>
        <w:rPr>
          <w:sz w:val="22"/>
        </w:rPr>
        <w:t>9</w:t>
      </w:r>
      <w:r>
        <w:rPr>
          <w:rFonts w:hint="eastAsia"/>
          <w:sz w:val="22"/>
        </w:rPr>
        <w:t>月から</w:t>
      </w:r>
      <w:r>
        <w:rPr>
          <w:sz w:val="22"/>
        </w:rPr>
        <w:t>2012</w:t>
      </w:r>
      <w:r>
        <w:rPr>
          <w:rFonts w:hint="eastAsia"/>
          <w:sz w:val="22"/>
        </w:rPr>
        <w:t>年</w:t>
      </w:r>
      <w:r>
        <w:rPr>
          <w:sz w:val="22"/>
        </w:rPr>
        <w:t>9</w:t>
      </w:r>
      <w:r>
        <w:rPr>
          <w:rFonts w:hint="eastAsia"/>
          <w:sz w:val="22"/>
        </w:rPr>
        <w:t>月の</w:t>
      </w:r>
      <w:r>
        <w:rPr>
          <w:sz w:val="22"/>
        </w:rPr>
        <w:t>24</w:t>
      </w:r>
      <w:r>
        <w:rPr>
          <w:rFonts w:hint="eastAsia"/>
          <w:sz w:val="22"/>
        </w:rPr>
        <w:t>個である。</w:t>
      </w:r>
    </w:p>
    <w:p w14:paraId="4C18A1BD" w14:textId="77777777" w:rsidR="00F90AD9" w:rsidRDefault="00F90AD9" w:rsidP="00F90AD9">
      <w:pPr>
        <w:rPr>
          <w:sz w:val="22"/>
        </w:rPr>
      </w:pPr>
    </w:p>
    <w:p w14:paraId="6801B795" w14:textId="613DC3B8" w:rsidR="00F90AD9" w:rsidRDefault="004E1D94" w:rsidP="00E96D25">
      <w:pPr>
        <w:pStyle w:val="3"/>
      </w:pPr>
      <w:bookmarkStart w:id="13" w:name="_Toc221603820"/>
      <w:r>
        <w:rPr>
          <w:rFonts w:hint="eastAsia"/>
        </w:rPr>
        <w:t>4</w:t>
      </w:r>
      <w:r>
        <w:rPr>
          <w:rFonts w:hint="eastAsia"/>
        </w:rPr>
        <w:t>－</w:t>
      </w:r>
      <w:r>
        <w:rPr>
          <w:rFonts w:hint="eastAsia"/>
        </w:rPr>
        <w:t>3</w:t>
      </w:r>
      <w:r>
        <w:rPr>
          <w:rFonts w:hint="eastAsia"/>
        </w:rPr>
        <w:t>－</w:t>
      </w:r>
      <w:r>
        <w:rPr>
          <w:rFonts w:hint="eastAsia"/>
        </w:rPr>
        <w:t>5</w:t>
      </w:r>
      <w:r w:rsidR="00F90AD9">
        <w:t xml:space="preserve"> </w:t>
      </w:r>
      <w:r w:rsidR="00DC5F6A">
        <w:rPr>
          <w:rFonts w:hint="eastAsia"/>
        </w:rPr>
        <w:t>大手５社の分析</w:t>
      </w:r>
      <w:r w:rsidR="00F90AD9">
        <w:rPr>
          <w:rFonts w:hint="eastAsia"/>
        </w:rPr>
        <w:t>モデル</w:t>
      </w:r>
      <w:bookmarkEnd w:id="13"/>
    </w:p>
    <w:p w14:paraId="24ECCCDC" w14:textId="77777777" w:rsidR="00F90AD9" w:rsidRDefault="00F90AD9" w:rsidP="00F90AD9">
      <w:pPr>
        <w:rPr>
          <w:sz w:val="22"/>
        </w:rPr>
      </w:pPr>
      <w:r>
        <w:rPr>
          <w:rFonts w:hint="eastAsia"/>
          <w:sz w:val="22"/>
        </w:rPr>
        <w:t xml:space="preserve">　</w:t>
      </w:r>
      <w:r>
        <w:rPr>
          <w:sz w:val="22"/>
        </w:rPr>
        <w:t>Box-Jenkins</w:t>
      </w:r>
      <w:r>
        <w:rPr>
          <w:rFonts w:hint="eastAsia"/>
          <w:sz w:val="22"/>
        </w:rPr>
        <w:t>法の手順に従ってモデル選択を行った。最終的なモデルは以下の通りである。</w:t>
      </w:r>
    </w:p>
    <w:p w14:paraId="2B7BE5D2" w14:textId="77777777" w:rsidR="00F90AD9" w:rsidRDefault="00F90AD9" w:rsidP="00F90AD9">
      <w:pPr>
        <w:rPr>
          <w:sz w:val="22"/>
        </w:rPr>
      </w:pPr>
    </w:p>
    <w:p w14:paraId="4B2C7138" w14:textId="77777777" w:rsidR="00F90AD9" w:rsidRPr="009B3C4E" w:rsidRDefault="00F90AD9" w:rsidP="00F90AD9">
      <w:pPr>
        <w:jc w:val="center"/>
        <w:rPr>
          <w:sz w:val="22"/>
        </w:rPr>
      </w:pPr>
      <w:r w:rsidRPr="00A55B38">
        <w:rPr>
          <w:position w:val="-12"/>
        </w:rPr>
        <w:object w:dxaOrig="7780" w:dyaOrig="340" w14:anchorId="05988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pt;height:20.1pt" o:ole="">
            <v:imagedata r:id="rId11" o:title=""/>
          </v:shape>
          <o:OLEObject Type="Embed" ProgID="Equation.3" ShapeID="_x0000_i1025" DrawAspect="Content" ObjectID="_1297369715" r:id="rId12"/>
        </w:object>
      </w:r>
      <m:oMath>
        <m:r>
          <w:rPr>
            <w:rFonts w:ascii="Cambria Math" w:hAnsi="Cambria Math"/>
            <w:sz w:val="22"/>
          </w:rPr>
          <m:t xml:space="preserve"> ln</m:t>
        </m:r>
        <m:sSub>
          <m:sSubPr>
            <m:ctrlPr>
              <w:rPr>
                <w:rFonts w:ascii="Cambria Math" w:hAnsi="Cambria Math"/>
                <w:i/>
                <w:sz w:val="22"/>
              </w:rPr>
            </m:ctrlPr>
          </m:sSubPr>
          <m:e>
            <m:r>
              <w:rPr>
                <w:rFonts w:ascii="Cambria Math" w:hAnsi="Cambria Math"/>
                <w:sz w:val="22"/>
              </w:rPr>
              <m:t>zandaka</m:t>
            </m:r>
          </m:e>
          <m:sub>
            <m:r>
              <w:rPr>
                <w:rFonts w:ascii="Cambria Math" w:hAnsi="Cambria Math"/>
                <w:sz w:val="22"/>
              </w:rPr>
              <m:t>t</m:t>
            </m:r>
          </m:sub>
        </m:sSub>
      </m:oMath>
      <w:r w:rsidRPr="009B3C4E">
        <w:rPr>
          <w:sz w:val="22"/>
        </w:rPr>
        <w:t xml:space="preserve">: </w:t>
      </w:r>
      <w:r w:rsidRPr="009B3C4E">
        <w:rPr>
          <w:rFonts w:hint="eastAsia"/>
          <w:sz w:val="22"/>
        </w:rPr>
        <w:t>ｔ期における大手５社の貸出残高の合計（対数値）</w:t>
      </w:r>
    </w:p>
    <w:p w14:paraId="03005993" w14:textId="77777777" w:rsidR="00F90AD9" w:rsidRPr="009B3C4E" w:rsidRDefault="00551E55" w:rsidP="00F90AD9">
      <w:pPr>
        <w:jc w:val="center"/>
        <w:rPr>
          <w:sz w:val="22"/>
        </w:rPr>
      </w:pPr>
      <m:oMath>
        <m:sSub>
          <m:sSubPr>
            <m:ctrlPr>
              <w:rPr>
                <w:rFonts w:ascii="Cambria Math" w:hAnsi="Cambria Math"/>
                <w:i/>
                <w:sz w:val="22"/>
              </w:rPr>
            </m:ctrlPr>
          </m:sSubPr>
          <m:e>
            <m:r>
              <w:rPr>
                <w:rFonts w:ascii="Cambria Math" w:hAnsi="Cambria Math"/>
                <w:sz w:val="22"/>
              </w:rPr>
              <m:t>lnrirate</m:t>
            </m:r>
          </m:e>
          <m:sub>
            <m:r>
              <w:rPr>
                <w:rFonts w:ascii="Cambria Math" w:hAnsi="Cambria Math"/>
                <w:sz w:val="22"/>
              </w:rPr>
              <m:t>t</m:t>
            </m:r>
          </m:sub>
        </m:sSub>
      </m:oMath>
      <w:r w:rsidR="00F90AD9" w:rsidRPr="009B3C4E">
        <w:rPr>
          <w:sz w:val="22"/>
        </w:rPr>
        <w:t>:</w:t>
      </w:r>
      <w:r w:rsidR="00F90AD9" w:rsidRPr="009B3C4E">
        <w:rPr>
          <w:rFonts w:hAnsi="ＭＳ Ｐゴシック" w:hint="eastAsia"/>
          <w:color w:val="000000" w:themeColor="text1"/>
          <w:kern w:val="24"/>
          <w:sz w:val="22"/>
        </w:rPr>
        <w:t xml:space="preserve"> </w:t>
      </w:r>
      <w:r w:rsidR="00F90AD9" w:rsidRPr="009B3C4E">
        <w:rPr>
          <w:rFonts w:hint="eastAsia"/>
          <w:sz w:val="22"/>
        </w:rPr>
        <w:t>ｔ期における大手５社の実質平均約定金利（対数値）</w:t>
      </w:r>
    </w:p>
    <w:p w14:paraId="3F7902EA" w14:textId="77777777" w:rsidR="00F90AD9" w:rsidRPr="009B3C4E" w:rsidRDefault="00551E55" w:rsidP="00F90AD9">
      <w:pPr>
        <w:jc w:val="center"/>
        <w:rPr>
          <w:rFonts w:ascii="Cambria Math" w:hAnsi="Cambria Math"/>
          <w:sz w:val="22"/>
          <w:oMath/>
        </w:rPr>
      </w:pPr>
      <m:oMathPara>
        <m:oMath>
          <m:sSub>
            <m:sSubPr>
              <m:ctrlPr>
                <w:rPr>
                  <w:rFonts w:ascii="Cambria Math" w:hAnsi="Cambria Math"/>
                  <w:i/>
                  <w:sz w:val="22"/>
                </w:rPr>
              </m:ctrlPr>
            </m:sSubPr>
            <m:e>
              <m:r>
                <w:rPr>
                  <w:rFonts w:ascii="Cambria Math" w:hAnsi="Cambria Math" w:cs="STIXGeneral-Italic"/>
                  <w:sz w:val="22"/>
                </w:rPr>
                <m:t>lnrcons</m:t>
              </m:r>
            </m:e>
            <m:sub>
              <m:r>
                <w:rPr>
                  <w:rFonts w:ascii="Cambria Math" w:hAnsi="Cambria Math"/>
                  <w:sz w:val="22"/>
                </w:rPr>
                <m:t>t</m:t>
              </m:r>
            </m:sub>
          </m:sSub>
          <m:r>
            <w:rPr>
              <w:rFonts w:ascii="Cambria Math" w:hAnsi="Cambria Math"/>
              <w:sz w:val="22"/>
            </w:rPr>
            <m:t>:</m:t>
          </m:r>
          <m:r>
            <m:rPr>
              <m:sty m:val="p"/>
            </m:rPr>
            <w:rPr>
              <w:rFonts w:ascii="Cambria Math" w:hAnsi="Cambria Math" w:hint="eastAsia"/>
              <w:sz w:val="22"/>
            </w:rPr>
            <m:t>ｔ期における一世帯あたり一ヶ月の消費支出</m:t>
          </m:r>
          <m:r>
            <m:rPr>
              <m:sty m:val="p"/>
            </m:rPr>
            <w:rPr>
              <w:rFonts w:ascii="Cambria Math" w:hAnsi="Cambria Math"/>
              <w:sz w:val="22"/>
            </w:rPr>
            <m:t xml:space="preserve"> </m:t>
          </m:r>
          <m:r>
            <m:rPr>
              <m:sty m:val="p"/>
            </m:rPr>
            <w:rPr>
              <w:rFonts w:ascii="Cambria Math" w:hAnsi="Cambria Math" w:hint="eastAsia"/>
              <w:sz w:val="22"/>
            </w:rPr>
            <m:t>（対数値）</m:t>
          </m:r>
        </m:oMath>
      </m:oMathPara>
    </w:p>
    <w:p w14:paraId="2071B2CA" w14:textId="77777777" w:rsidR="00F90AD9" w:rsidRPr="009B3C4E" w:rsidRDefault="00551E55" w:rsidP="00F90AD9">
      <w:pPr>
        <w:jc w:val="center"/>
        <w:rPr>
          <w:sz w:val="22"/>
        </w:rPr>
      </w:pPr>
      <m:oMath>
        <m:sSub>
          <m:sSubPr>
            <m:ctrlPr>
              <w:rPr>
                <w:rFonts w:ascii="Cambria Math" w:hAnsi="Cambria Math"/>
                <w:i/>
                <w:sz w:val="22"/>
              </w:rPr>
            </m:ctrlPr>
          </m:sSubPr>
          <m:e>
            <m:r>
              <w:rPr>
                <w:rFonts w:ascii="Cambria Math" w:hAnsi="Cambria Math"/>
                <w:sz w:val="22"/>
              </w:rPr>
              <m:t>judge</m:t>
            </m:r>
          </m:e>
          <m:sub>
            <m:r>
              <w:rPr>
                <w:rFonts w:ascii="Cambria Math" w:hAnsi="Cambria Math"/>
                <w:sz w:val="22"/>
              </w:rPr>
              <m:t>t</m:t>
            </m:r>
          </m:sub>
        </m:sSub>
        <m:r>
          <w:rPr>
            <w:rFonts w:ascii="Cambria Math" w:hAnsi="Cambria Math"/>
            <w:sz w:val="22"/>
          </w:rPr>
          <m:t>:</m:t>
        </m:r>
        <m:r>
          <w:rPr>
            <w:rFonts w:ascii="Cambria Math" w:hAnsi="Cambria Math"/>
            <w:sz w:val="22"/>
          </w:rPr>
          <m:t>判決ダミー</m:t>
        </m:r>
      </m:oMath>
      <w:r w:rsidR="00F90AD9" w:rsidRPr="009B3C4E">
        <w:rPr>
          <w:rFonts w:hint="eastAsia"/>
          <w:sz w:val="22"/>
        </w:rPr>
        <w:t>（</w:t>
      </w:r>
      <w:r w:rsidR="00F90AD9" w:rsidRPr="009B3C4E">
        <w:rPr>
          <w:sz w:val="22"/>
        </w:rPr>
        <w:t>2006</w:t>
      </w:r>
      <w:r w:rsidR="00F90AD9" w:rsidRPr="009B3C4E">
        <w:rPr>
          <w:rFonts w:hint="eastAsia"/>
          <w:sz w:val="22"/>
        </w:rPr>
        <w:t>年以降は</w:t>
      </w:r>
      <w:r w:rsidR="00F90AD9" w:rsidRPr="009B3C4E">
        <w:rPr>
          <w:sz w:val="22"/>
        </w:rPr>
        <w:t>1</w:t>
      </w:r>
      <w:r w:rsidR="00F90AD9" w:rsidRPr="009B3C4E">
        <w:rPr>
          <w:rFonts w:hint="eastAsia"/>
          <w:sz w:val="22"/>
        </w:rPr>
        <w:t>、それ以前は</w:t>
      </w:r>
      <w:r w:rsidR="00F90AD9" w:rsidRPr="009B3C4E">
        <w:rPr>
          <w:sz w:val="22"/>
        </w:rPr>
        <w:t>0</w:t>
      </w:r>
      <w:r w:rsidR="00F90AD9" w:rsidRPr="009B3C4E">
        <w:rPr>
          <w:rFonts w:hint="eastAsia"/>
          <w:sz w:val="22"/>
        </w:rPr>
        <w:t>）</w:t>
      </w:r>
    </w:p>
    <w:p w14:paraId="44E4A974" w14:textId="77777777" w:rsidR="00F90AD9" w:rsidRPr="009B3C4E" w:rsidRDefault="00551E55" w:rsidP="00F90AD9">
      <w:pPr>
        <w:jc w:val="center"/>
        <w:rPr>
          <w:sz w:val="22"/>
        </w:rPr>
      </w:pPr>
      <m:oMath>
        <m:sSub>
          <m:sSubPr>
            <m:ctrlPr>
              <w:rPr>
                <w:rFonts w:ascii="Cambria Math" w:hAnsi="Cambria Math"/>
                <w:i/>
                <w:sz w:val="22"/>
              </w:rPr>
            </m:ctrlPr>
          </m:sSubPr>
          <m:e>
            <m:r>
              <w:rPr>
                <w:rFonts w:ascii="Cambria Math" w:hAnsi="Cambria Math"/>
                <w:sz w:val="22"/>
              </w:rPr>
              <m:t>season</m:t>
            </m:r>
          </m:e>
          <m:sub>
            <m:r>
              <w:rPr>
                <w:rFonts w:ascii="Cambria Math" w:hAnsi="Cambria Math"/>
                <w:sz w:val="22"/>
              </w:rPr>
              <m:t>t</m:t>
            </m:r>
          </m:sub>
        </m:sSub>
        <m:r>
          <w:rPr>
            <w:rFonts w:ascii="Cambria Math" w:hAnsi="Cambria Math"/>
            <w:sz w:val="22"/>
          </w:rPr>
          <m:t>:</m:t>
        </m:r>
        <m:r>
          <w:rPr>
            <w:rFonts w:ascii="Cambria Math" w:hAnsi="Cambria Math"/>
            <w:sz w:val="22"/>
          </w:rPr>
          <m:t>季節ダミー</m:t>
        </m:r>
      </m:oMath>
      <w:r w:rsidR="00F90AD9" w:rsidRPr="009B3C4E">
        <w:rPr>
          <w:sz w:val="22"/>
        </w:rPr>
        <w:t xml:space="preserve"> (</w:t>
      </w:r>
      <w:r w:rsidR="00F90AD9" w:rsidRPr="009B3C4E">
        <w:rPr>
          <w:rFonts w:hint="eastAsia"/>
          <w:sz w:val="22"/>
        </w:rPr>
        <w:t>３月は１、９月は０</w:t>
      </w:r>
      <w:r w:rsidR="00F90AD9" w:rsidRPr="009B3C4E">
        <w:rPr>
          <w:rFonts w:hint="eastAsia"/>
          <w:sz w:val="22"/>
        </w:rPr>
        <w:t>)</w:t>
      </w:r>
    </w:p>
    <w:p w14:paraId="13459837" w14:textId="77777777" w:rsidR="00F90AD9" w:rsidRPr="009B3C4E" w:rsidRDefault="00551E55" w:rsidP="00F90AD9">
      <w:pPr>
        <w:jc w:val="center"/>
        <w:rPr>
          <w:sz w:val="22"/>
        </w:rPr>
      </w:pPr>
      <m:oMathPara>
        <m:oMath>
          <m:sSub>
            <m:sSubPr>
              <m:ctrlPr>
                <w:rPr>
                  <w:rFonts w:ascii="Cambria Math" w:hAnsi="Cambria Math"/>
                  <w:i/>
                  <w:sz w:val="22"/>
                </w:rPr>
              </m:ctrlPr>
            </m:sSubPr>
            <m:e>
              <m:r>
                <w:rPr>
                  <w:rFonts w:ascii="Cambria Math" w:hAnsi="Cambria Math"/>
                  <w:sz w:val="22"/>
                </w:rPr>
                <m:t>ε</m:t>
              </m:r>
            </m:e>
            <m:sub>
              <m:r>
                <w:rPr>
                  <w:rFonts w:ascii="Cambria Math" w:hAnsi="Cambria Math"/>
                  <w:sz w:val="22"/>
                </w:rPr>
                <m:t>t</m:t>
              </m:r>
            </m:sub>
          </m:sSub>
          <m:r>
            <w:rPr>
              <w:rFonts w:ascii="Cambria Math" w:hAnsi="Cambria Math"/>
              <w:sz w:val="22"/>
            </w:rPr>
            <m:t>：</m:t>
          </m:r>
          <m:r>
            <m:rPr>
              <m:sty m:val="p"/>
            </m:rPr>
            <w:rPr>
              <w:rFonts w:ascii="Cambria Math" w:hAnsi="Cambria Math"/>
              <w:sz w:val="22"/>
            </w:rPr>
            <m:t>誤差項</m:t>
          </m:r>
        </m:oMath>
      </m:oMathPara>
    </w:p>
    <w:p w14:paraId="6FED3DFC" w14:textId="77777777" w:rsidR="00F90AD9" w:rsidRDefault="00F90AD9" w:rsidP="00F90AD9">
      <w:pPr>
        <w:ind w:leftChars="-177" w:left="-372"/>
        <w:jc w:val="center"/>
        <w:rPr>
          <w:position w:val="-12"/>
          <w:sz w:val="22"/>
        </w:rPr>
      </w:pPr>
      <w:r w:rsidRPr="009B3C4E">
        <w:rPr>
          <w:rFonts w:hint="eastAsia"/>
          <w:position w:val="-12"/>
          <w:sz w:val="22"/>
        </w:rPr>
        <w:t>Δは１階階差を表す</w:t>
      </w:r>
    </w:p>
    <w:p w14:paraId="4C4EA9CC" w14:textId="77777777" w:rsidR="00DC5F6A" w:rsidRPr="009B3C4E" w:rsidRDefault="00DC5F6A" w:rsidP="00F90AD9">
      <w:pPr>
        <w:ind w:leftChars="-177" w:left="-372"/>
        <w:jc w:val="center"/>
        <w:rPr>
          <w:position w:val="-12"/>
          <w:sz w:val="22"/>
        </w:rPr>
      </w:pPr>
    </w:p>
    <w:p w14:paraId="7B6FDBBD" w14:textId="170C87C7" w:rsidR="00F90AD9" w:rsidRDefault="00F90AD9" w:rsidP="00E96D25">
      <w:pPr>
        <w:pStyle w:val="3"/>
      </w:pPr>
      <w:r>
        <w:lastRenderedPageBreak/>
        <w:t xml:space="preserve"> </w:t>
      </w:r>
      <w:bookmarkStart w:id="14" w:name="_Toc221603821"/>
      <w:r w:rsidR="00012519">
        <w:rPr>
          <w:rFonts w:hint="eastAsia"/>
        </w:rPr>
        <w:t>4</w:t>
      </w:r>
      <w:r w:rsidR="00012519">
        <w:rPr>
          <w:rFonts w:hint="eastAsia"/>
        </w:rPr>
        <w:t>－</w:t>
      </w:r>
      <w:r w:rsidR="00012519">
        <w:rPr>
          <w:rFonts w:hint="eastAsia"/>
        </w:rPr>
        <w:t>3</w:t>
      </w:r>
      <w:r w:rsidR="00012519">
        <w:rPr>
          <w:rFonts w:hint="eastAsia"/>
        </w:rPr>
        <w:t>－</w:t>
      </w:r>
      <w:r w:rsidR="00012519">
        <w:rPr>
          <w:rFonts w:hint="eastAsia"/>
        </w:rPr>
        <w:t>6</w:t>
      </w:r>
      <w:r>
        <w:t xml:space="preserve"> </w:t>
      </w:r>
      <w:r w:rsidR="00DC5F6A">
        <w:rPr>
          <w:rFonts w:hint="eastAsia"/>
        </w:rPr>
        <w:t>大手５社の</w:t>
      </w:r>
      <w:r>
        <w:rPr>
          <w:rFonts w:hint="eastAsia"/>
        </w:rPr>
        <w:t>推計結果</w:t>
      </w:r>
      <w:bookmarkEnd w:id="14"/>
    </w:p>
    <w:p w14:paraId="0D4DD0C8" w14:textId="292DF5E0" w:rsidR="00F90AD9" w:rsidRDefault="00F90AD9" w:rsidP="00F90AD9">
      <w:pPr>
        <w:ind w:leftChars="-177" w:left="-372"/>
        <w:jc w:val="left"/>
        <w:rPr>
          <w:sz w:val="22"/>
        </w:rPr>
      </w:pPr>
      <w:r>
        <w:rPr>
          <w:rFonts w:hint="eastAsia"/>
          <w:sz w:val="22"/>
        </w:rPr>
        <w:t xml:space="preserve">　　　最終モデルにおける推計結果を以下の表にまとめる</w:t>
      </w:r>
      <w:r w:rsidR="00901E17">
        <w:rPr>
          <w:rFonts w:hint="eastAsia"/>
          <w:sz w:val="22"/>
        </w:rPr>
        <w:t>。</w:t>
      </w:r>
    </w:p>
    <w:p w14:paraId="633E4E2A" w14:textId="0E9018CC" w:rsidR="00901E17" w:rsidRDefault="007C2ACC" w:rsidP="00901E17">
      <w:pPr>
        <w:ind w:leftChars="-177" w:left="-372"/>
        <w:jc w:val="center"/>
        <w:rPr>
          <w:sz w:val="22"/>
        </w:rPr>
      </w:pPr>
      <w:r>
        <w:rPr>
          <w:rFonts w:hint="eastAsia"/>
          <w:sz w:val="22"/>
        </w:rPr>
        <w:t>表</w:t>
      </w:r>
      <w:r>
        <w:rPr>
          <w:rFonts w:hint="eastAsia"/>
          <w:sz w:val="22"/>
        </w:rPr>
        <w:t>4</w:t>
      </w:r>
      <w:r>
        <w:rPr>
          <w:rFonts w:hint="eastAsia"/>
          <w:sz w:val="22"/>
        </w:rPr>
        <w:t>−</w:t>
      </w:r>
      <w:r>
        <w:rPr>
          <w:rFonts w:hint="eastAsia"/>
          <w:sz w:val="22"/>
        </w:rPr>
        <w:t>2</w:t>
      </w:r>
      <w:r w:rsidR="00DC5F6A">
        <w:rPr>
          <w:rFonts w:hint="eastAsia"/>
          <w:sz w:val="22"/>
        </w:rPr>
        <w:t xml:space="preserve">　大手５社</w:t>
      </w:r>
      <w:r w:rsidR="00C05B0B">
        <w:rPr>
          <w:rFonts w:hint="eastAsia"/>
          <w:sz w:val="22"/>
        </w:rPr>
        <w:t>の推計結果</w:t>
      </w:r>
    </w:p>
    <w:tbl>
      <w:tblPr>
        <w:tblStyle w:val="4"/>
        <w:tblW w:w="0" w:type="auto"/>
        <w:tblLook w:val="04A0" w:firstRow="1" w:lastRow="0" w:firstColumn="1" w:lastColumn="0" w:noHBand="0" w:noVBand="1"/>
      </w:tblPr>
      <w:tblGrid>
        <w:gridCol w:w="2174"/>
        <w:gridCol w:w="2174"/>
        <w:gridCol w:w="2174"/>
        <w:gridCol w:w="2174"/>
      </w:tblGrid>
      <w:tr w:rsidR="00F90AD9" w14:paraId="69A46F3B" w14:textId="77777777" w:rsidTr="00025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7D4F4A84" w14:textId="77777777" w:rsidR="00F90AD9" w:rsidRDefault="00F90AD9" w:rsidP="0002524F">
            <w:pPr>
              <w:jc w:val="left"/>
              <w:rPr>
                <w:sz w:val="22"/>
                <w:szCs w:val="22"/>
              </w:rPr>
            </w:pPr>
            <w:r>
              <w:rPr>
                <w:rFonts w:hint="eastAsia"/>
                <w:sz w:val="22"/>
                <w:szCs w:val="22"/>
              </w:rPr>
              <w:t>変数</w:t>
            </w:r>
          </w:p>
        </w:tc>
        <w:tc>
          <w:tcPr>
            <w:tcW w:w="2174" w:type="dxa"/>
          </w:tcPr>
          <w:p w14:paraId="65EA9D31" w14:textId="77777777" w:rsidR="00F90AD9" w:rsidRDefault="00F90AD9" w:rsidP="0002524F">
            <w:pPr>
              <w:jc w:val="left"/>
              <w:cnfStyle w:val="100000000000" w:firstRow="1" w:lastRow="0" w:firstColumn="0" w:lastColumn="0" w:oddVBand="0" w:evenVBand="0" w:oddHBand="0" w:evenHBand="0" w:firstRowFirstColumn="0" w:firstRowLastColumn="0" w:lastRowFirstColumn="0" w:lastRowLastColumn="0"/>
              <w:rPr>
                <w:sz w:val="22"/>
                <w:szCs w:val="22"/>
              </w:rPr>
            </w:pPr>
            <w:r>
              <w:rPr>
                <w:rFonts w:hint="eastAsia"/>
                <w:sz w:val="22"/>
                <w:szCs w:val="22"/>
              </w:rPr>
              <w:t>係数</w:t>
            </w:r>
          </w:p>
        </w:tc>
        <w:tc>
          <w:tcPr>
            <w:tcW w:w="2174" w:type="dxa"/>
          </w:tcPr>
          <w:p w14:paraId="749D48B9" w14:textId="77777777" w:rsidR="00F90AD9" w:rsidRDefault="00F90AD9" w:rsidP="0002524F">
            <w:pPr>
              <w:jc w:val="left"/>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w:t>
            </w:r>
            <w:r>
              <w:rPr>
                <w:rFonts w:hint="eastAsia"/>
                <w:sz w:val="22"/>
                <w:szCs w:val="22"/>
              </w:rPr>
              <w:t>値</w:t>
            </w:r>
          </w:p>
        </w:tc>
        <w:tc>
          <w:tcPr>
            <w:tcW w:w="2174" w:type="dxa"/>
          </w:tcPr>
          <w:p w14:paraId="50FBDEF0" w14:textId="77777777" w:rsidR="00F90AD9" w:rsidRDefault="00F90AD9" w:rsidP="0002524F">
            <w:pPr>
              <w:jc w:val="left"/>
              <w:cnfStyle w:val="100000000000" w:firstRow="1" w:lastRow="0" w:firstColumn="0" w:lastColumn="0" w:oddVBand="0" w:evenVBand="0" w:oddHBand="0" w:evenHBand="0" w:firstRowFirstColumn="0" w:firstRowLastColumn="0" w:lastRowFirstColumn="0" w:lastRowLastColumn="0"/>
              <w:rPr>
                <w:sz w:val="22"/>
                <w:szCs w:val="22"/>
              </w:rPr>
            </w:pPr>
            <w:r>
              <w:rPr>
                <w:rFonts w:hint="eastAsia"/>
                <w:sz w:val="22"/>
                <w:szCs w:val="22"/>
              </w:rPr>
              <w:t>判定</w:t>
            </w:r>
          </w:p>
        </w:tc>
      </w:tr>
      <w:tr w:rsidR="00F90AD9" w14:paraId="363E1C4B" w14:textId="77777777" w:rsidTr="0002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644C26AA" w14:textId="77777777" w:rsidR="00F90AD9" w:rsidRPr="00903F68" w:rsidRDefault="00F90AD9" w:rsidP="0002524F">
            <w:pPr>
              <w:jc w:val="left"/>
              <w:rPr>
                <w:b w:val="0"/>
                <w:sz w:val="22"/>
                <w:szCs w:val="22"/>
              </w:rPr>
            </w:pPr>
            <w:proofErr w:type="spellStart"/>
            <w:r w:rsidRPr="00903F68">
              <w:rPr>
                <w:rFonts w:cs="Kefa"/>
                <w:b w:val="0"/>
                <w:sz w:val="22"/>
                <w:szCs w:val="22"/>
              </w:rPr>
              <w:t>Δ</w:t>
            </w:r>
            <w:r w:rsidRPr="00903F68">
              <w:rPr>
                <w:b w:val="0"/>
                <w:sz w:val="22"/>
                <w:szCs w:val="22"/>
              </w:rPr>
              <w:t>lnrirate</w:t>
            </w:r>
            <w:proofErr w:type="spellEnd"/>
          </w:p>
        </w:tc>
        <w:tc>
          <w:tcPr>
            <w:tcW w:w="2174" w:type="dxa"/>
          </w:tcPr>
          <w:p w14:paraId="587427BD"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0.481</w:t>
            </w:r>
          </w:p>
        </w:tc>
        <w:tc>
          <w:tcPr>
            <w:tcW w:w="2174" w:type="dxa"/>
          </w:tcPr>
          <w:p w14:paraId="7B2571A5"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1.301</w:t>
            </w:r>
          </w:p>
        </w:tc>
        <w:tc>
          <w:tcPr>
            <w:tcW w:w="2174" w:type="dxa"/>
          </w:tcPr>
          <w:p w14:paraId="6685CE09"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F90AD9" w14:paraId="56C5DC0D" w14:textId="77777777" w:rsidTr="000252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07D027BD" w14:textId="77777777" w:rsidR="00F90AD9" w:rsidRPr="00903F68" w:rsidRDefault="00F90AD9" w:rsidP="0002524F">
            <w:pPr>
              <w:jc w:val="left"/>
              <w:rPr>
                <w:b w:val="0"/>
                <w:sz w:val="22"/>
                <w:szCs w:val="22"/>
              </w:rPr>
            </w:pPr>
            <w:proofErr w:type="spellStart"/>
            <w:r w:rsidRPr="00903F68">
              <w:rPr>
                <w:rFonts w:cs="Kefa"/>
                <w:b w:val="0"/>
                <w:sz w:val="22"/>
                <w:szCs w:val="22"/>
              </w:rPr>
              <w:t>Δ</w:t>
            </w:r>
            <w:r w:rsidRPr="00903F68">
              <w:rPr>
                <w:b w:val="0"/>
                <w:sz w:val="22"/>
                <w:szCs w:val="22"/>
              </w:rPr>
              <w:t>lncons</w:t>
            </w:r>
            <w:proofErr w:type="spellEnd"/>
          </w:p>
        </w:tc>
        <w:tc>
          <w:tcPr>
            <w:tcW w:w="2174" w:type="dxa"/>
          </w:tcPr>
          <w:p w14:paraId="579143DE"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0.127</w:t>
            </w:r>
          </w:p>
        </w:tc>
        <w:tc>
          <w:tcPr>
            <w:tcW w:w="2174" w:type="dxa"/>
          </w:tcPr>
          <w:p w14:paraId="7AE57D0D"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0.570</w:t>
            </w:r>
          </w:p>
        </w:tc>
        <w:tc>
          <w:tcPr>
            <w:tcW w:w="2174" w:type="dxa"/>
          </w:tcPr>
          <w:p w14:paraId="50FB6105"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p>
        </w:tc>
      </w:tr>
      <w:tr w:rsidR="00F90AD9" w14:paraId="5563298F" w14:textId="77777777" w:rsidTr="0002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7F97B363" w14:textId="77777777" w:rsidR="00F90AD9" w:rsidRPr="00903F68" w:rsidRDefault="00012519" w:rsidP="0002524F">
            <w:pPr>
              <w:jc w:val="left"/>
              <w:rPr>
                <w:b w:val="0"/>
                <w:sz w:val="22"/>
                <w:szCs w:val="22"/>
              </w:rPr>
            </w:pPr>
            <w:r w:rsidRPr="00903F68">
              <w:rPr>
                <w:b w:val="0"/>
                <w:sz w:val="22"/>
                <w:szCs w:val="22"/>
              </w:rPr>
              <w:t>S</w:t>
            </w:r>
            <w:r w:rsidR="00F90AD9" w:rsidRPr="00903F68">
              <w:rPr>
                <w:b w:val="0"/>
                <w:sz w:val="22"/>
                <w:szCs w:val="22"/>
              </w:rPr>
              <w:t>eason</w:t>
            </w:r>
          </w:p>
        </w:tc>
        <w:tc>
          <w:tcPr>
            <w:tcW w:w="2174" w:type="dxa"/>
          </w:tcPr>
          <w:p w14:paraId="79C9E6E8"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-0.053</w:t>
            </w:r>
          </w:p>
        </w:tc>
        <w:tc>
          <w:tcPr>
            <w:tcW w:w="2174" w:type="dxa"/>
          </w:tcPr>
          <w:p w14:paraId="51AC3B8E"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-1.101</w:t>
            </w:r>
          </w:p>
        </w:tc>
        <w:tc>
          <w:tcPr>
            <w:tcW w:w="2174" w:type="dxa"/>
          </w:tcPr>
          <w:p w14:paraId="5775985E"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p>
        </w:tc>
      </w:tr>
      <w:tr w:rsidR="00F90AD9" w14:paraId="16DF4344" w14:textId="77777777" w:rsidTr="000252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583E43DD" w14:textId="77777777" w:rsidR="00F90AD9" w:rsidRPr="00903F68" w:rsidRDefault="00012519" w:rsidP="0002524F">
            <w:pPr>
              <w:jc w:val="left"/>
              <w:rPr>
                <w:b w:val="0"/>
                <w:sz w:val="22"/>
                <w:szCs w:val="22"/>
              </w:rPr>
            </w:pPr>
            <w:r w:rsidRPr="00903F68">
              <w:rPr>
                <w:b w:val="0"/>
                <w:sz w:val="22"/>
                <w:szCs w:val="22"/>
              </w:rPr>
              <w:t>J</w:t>
            </w:r>
            <w:r w:rsidR="00F90AD9" w:rsidRPr="00903F68">
              <w:rPr>
                <w:b w:val="0"/>
                <w:sz w:val="22"/>
                <w:szCs w:val="22"/>
              </w:rPr>
              <w:t>udge</w:t>
            </w:r>
          </w:p>
        </w:tc>
        <w:tc>
          <w:tcPr>
            <w:tcW w:w="2174" w:type="dxa"/>
          </w:tcPr>
          <w:p w14:paraId="67BE6B38"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-0.104</w:t>
            </w:r>
          </w:p>
        </w:tc>
        <w:tc>
          <w:tcPr>
            <w:tcW w:w="2174" w:type="dxa"/>
          </w:tcPr>
          <w:p w14:paraId="0F243FCE"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-2.650</w:t>
            </w:r>
          </w:p>
        </w:tc>
        <w:tc>
          <w:tcPr>
            <w:tcW w:w="2174" w:type="dxa"/>
          </w:tcPr>
          <w:p w14:paraId="7CB069FE"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w:t>
            </w:r>
          </w:p>
        </w:tc>
      </w:tr>
      <w:tr w:rsidR="00F90AD9" w14:paraId="5852FD1A" w14:textId="77777777" w:rsidTr="0002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0E244346" w14:textId="77777777" w:rsidR="00F90AD9" w:rsidRPr="00903F68" w:rsidRDefault="00F90AD9" w:rsidP="0002524F">
            <w:pPr>
              <w:jc w:val="left"/>
              <w:rPr>
                <w:b w:val="0"/>
                <w:sz w:val="22"/>
                <w:szCs w:val="22"/>
              </w:rPr>
            </w:pPr>
            <w:r w:rsidRPr="00903F68">
              <w:rPr>
                <w:b w:val="0"/>
                <w:sz w:val="22"/>
                <w:szCs w:val="22"/>
              </w:rPr>
              <w:t>MA(1)</w:t>
            </w:r>
          </w:p>
        </w:tc>
        <w:tc>
          <w:tcPr>
            <w:tcW w:w="2174" w:type="dxa"/>
          </w:tcPr>
          <w:p w14:paraId="2035976B"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0.662</w:t>
            </w:r>
          </w:p>
        </w:tc>
        <w:tc>
          <w:tcPr>
            <w:tcW w:w="2174" w:type="dxa"/>
          </w:tcPr>
          <w:p w14:paraId="42FEA62F"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3.513</w:t>
            </w:r>
          </w:p>
        </w:tc>
        <w:tc>
          <w:tcPr>
            <w:tcW w:w="2174" w:type="dxa"/>
          </w:tcPr>
          <w:p w14:paraId="3E3A2966" w14:textId="053B3AE2" w:rsidR="00F90AD9" w:rsidRDefault="00DC5F6A"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F90AD9" w14:paraId="689945C7" w14:textId="77777777" w:rsidTr="000252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02C4C07D" w14:textId="77777777" w:rsidR="00F90AD9" w:rsidRDefault="00F90AD9" w:rsidP="0002524F">
            <w:pPr>
              <w:jc w:val="left"/>
              <w:rPr>
                <w:sz w:val="22"/>
                <w:szCs w:val="22"/>
              </w:rPr>
            </w:pPr>
            <w:r>
              <w:rPr>
                <w:sz w:val="22"/>
                <w:szCs w:val="22"/>
              </w:rPr>
              <w:t>C</w:t>
            </w:r>
          </w:p>
        </w:tc>
        <w:tc>
          <w:tcPr>
            <w:tcW w:w="2174" w:type="dxa"/>
          </w:tcPr>
          <w:p w14:paraId="5119406B"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0.056</w:t>
            </w:r>
          </w:p>
        </w:tc>
        <w:tc>
          <w:tcPr>
            <w:tcW w:w="2174" w:type="dxa"/>
          </w:tcPr>
          <w:p w14:paraId="50C92DE0"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1.480</w:t>
            </w:r>
          </w:p>
        </w:tc>
        <w:tc>
          <w:tcPr>
            <w:tcW w:w="2174" w:type="dxa"/>
          </w:tcPr>
          <w:p w14:paraId="50F1D586"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p>
        </w:tc>
      </w:tr>
    </w:tbl>
    <w:tbl>
      <w:tblPr>
        <w:tblStyle w:val="af1"/>
        <w:tblW w:w="0" w:type="auto"/>
        <w:tblLook w:val="04A0" w:firstRow="1" w:lastRow="0" w:firstColumn="1" w:lastColumn="0" w:noHBand="0" w:noVBand="1"/>
      </w:tblPr>
      <w:tblGrid>
        <w:gridCol w:w="2174"/>
        <w:gridCol w:w="2174"/>
        <w:gridCol w:w="2174"/>
        <w:gridCol w:w="2174"/>
      </w:tblGrid>
      <w:tr w:rsidR="00F90AD9" w14:paraId="2F980551" w14:textId="77777777" w:rsidTr="0002524F">
        <w:tc>
          <w:tcPr>
            <w:tcW w:w="2174" w:type="dxa"/>
          </w:tcPr>
          <w:p w14:paraId="5B16C3CD" w14:textId="77777777" w:rsidR="00F90AD9" w:rsidRDefault="00F90AD9" w:rsidP="0002524F">
            <w:pPr>
              <w:jc w:val="left"/>
              <w:rPr>
                <w:sz w:val="22"/>
              </w:rPr>
            </w:pPr>
          </w:p>
        </w:tc>
        <w:tc>
          <w:tcPr>
            <w:tcW w:w="2174" w:type="dxa"/>
          </w:tcPr>
          <w:p w14:paraId="13626784" w14:textId="77777777" w:rsidR="00F90AD9" w:rsidRDefault="00F90AD9" w:rsidP="0002524F">
            <w:pPr>
              <w:jc w:val="left"/>
              <w:rPr>
                <w:sz w:val="22"/>
              </w:rPr>
            </w:pPr>
          </w:p>
        </w:tc>
        <w:tc>
          <w:tcPr>
            <w:tcW w:w="2174" w:type="dxa"/>
          </w:tcPr>
          <w:p w14:paraId="4129F6D7" w14:textId="77777777" w:rsidR="00F90AD9" w:rsidRDefault="00F90AD9" w:rsidP="0002524F">
            <w:pPr>
              <w:jc w:val="left"/>
              <w:rPr>
                <w:sz w:val="22"/>
              </w:rPr>
            </w:pPr>
            <w:proofErr w:type="spellStart"/>
            <w:r>
              <w:rPr>
                <w:rFonts w:hint="eastAsia"/>
                <w:sz w:val="22"/>
              </w:rPr>
              <w:t>Adj</w:t>
            </w:r>
            <w:proofErr w:type="spellEnd"/>
            <w:r>
              <w:rPr>
                <w:rFonts w:hint="eastAsia"/>
                <w:sz w:val="22"/>
              </w:rPr>
              <w:t xml:space="preserve"> R-</w:t>
            </w:r>
            <w:r>
              <w:rPr>
                <w:sz w:val="22"/>
              </w:rPr>
              <w:t>squared</w:t>
            </w:r>
          </w:p>
          <w:p w14:paraId="01EF5F51" w14:textId="77777777" w:rsidR="00F90AD9" w:rsidRDefault="00F90AD9" w:rsidP="0002524F">
            <w:pPr>
              <w:jc w:val="left"/>
              <w:rPr>
                <w:sz w:val="22"/>
              </w:rPr>
            </w:pPr>
            <w:r>
              <w:rPr>
                <w:sz w:val="22"/>
              </w:rPr>
              <w:t>0.576</w:t>
            </w:r>
          </w:p>
        </w:tc>
        <w:tc>
          <w:tcPr>
            <w:tcW w:w="2174" w:type="dxa"/>
          </w:tcPr>
          <w:p w14:paraId="5728454C" w14:textId="77777777" w:rsidR="00F90AD9" w:rsidRDefault="00F90AD9" w:rsidP="0002524F">
            <w:pPr>
              <w:jc w:val="left"/>
              <w:rPr>
                <w:sz w:val="22"/>
              </w:rPr>
            </w:pPr>
            <w:r>
              <w:rPr>
                <w:sz w:val="22"/>
              </w:rPr>
              <w:t>AIC</w:t>
            </w:r>
          </w:p>
          <w:p w14:paraId="3EF74828" w14:textId="77777777" w:rsidR="00F90AD9" w:rsidRDefault="00F90AD9" w:rsidP="0002524F">
            <w:pPr>
              <w:jc w:val="left"/>
              <w:rPr>
                <w:sz w:val="22"/>
              </w:rPr>
            </w:pPr>
            <w:r>
              <w:rPr>
                <w:sz w:val="22"/>
              </w:rPr>
              <w:t>-2.464</w:t>
            </w:r>
          </w:p>
        </w:tc>
      </w:tr>
    </w:tbl>
    <w:p w14:paraId="7610C5A5" w14:textId="77777777" w:rsidR="00F90AD9" w:rsidRDefault="00F90AD9" w:rsidP="00F90AD9">
      <w:pPr>
        <w:jc w:val="left"/>
        <w:rPr>
          <w:sz w:val="22"/>
        </w:rPr>
      </w:pPr>
      <w:r>
        <w:rPr>
          <w:rFonts w:hint="eastAsia"/>
          <w:sz w:val="22"/>
        </w:rPr>
        <w:t xml:space="preserve">　　　　　　　　　　　　　　　　</w:t>
      </w:r>
      <w:r>
        <w:rPr>
          <w:sz w:val="22"/>
        </w:rPr>
        <w:t>* 1%</w:t>
      </w:r>
      <w:r>
        <w:rPr>
          <w:rFonts w:hint="eastAsia"/>
          <w:sz w:val="22"/>
        </w:rPr>
        <w:t>有意は</w:t>
      </w:r>
      <w:r>
        <w:rPr>
          <w:sz w:val="22"/>
        </w:rPr>
        <w:t>***</w:t>
      </w:r>
      <w:r>
        <w:rPr>
          <w:rFonts w:hint="eastAsia"/>
          <w:sz w:val="22"/>
        </w:rPr>
        <w:t>、</w:t>
      </w:r>
      <w:r>
        <w:rPr>
          <w:sz w:val="22"/>
        </w:rPr>
        <w:t>5%</w:t>
      </w:r>
      <w:r>
        <w:rPr>
          <w:rFonts w:hint="eastAsia"/>
          <w:sz w:val="22"/>
        </w:rPr>
        <w:t>有意は</w:t>
      </w:r>
      <w:r>
        <w:rPr>
          <w:sz w:val="22"/>
        </w:rPr>
        <w:t>**</w:t>
      </w:r>
      <w:r>
        <w:rPr>
          <w:rFonts w:hint="eastAsia"/>
          <w:sz w:val="22"/>
        </w:rPr>
        <w:t>、</w:t>
      </w:r>
      <w:r>
        <w:rPr>
          <w:sz w:val="22"/>
        </w:rPr>
        <w:t>10%</w:t>
      </w:r>
      <w:r>
        <w:rPr>
          <w:rFonts w:hint="eastAsia"/>
          <w:sz w:val="22"/>
        </w:rPr>
        <w:t>有意は</w:t>
      </w:r>
      <w:r>
        <w:rPr>
          <w:sz w:val="22"/>
        </w:rPr>
        <w:t>*</w:t>
      </w:r>
      <w:r>
        <w:rPr>
          <w:rFonts w:hint="eastAsia"/>
          <w:sz w:val="22"/>
        </w:rPr>
        <w:t>で表す</w:t>
      </w:r>
    </w:p>
    <w:p w14:paraId="206922EA" w14:textId="078A9979" w:rsidR="00012519" w:rsidRDefault="00F90AD9" w:rsidP="00F90AD9">
      <w:pPr>
        <w:jc w:val="left"/>
        <w:rPr>
          <w:rFonts w:hint="eastAsia"/>
          <w:sz w:val="22"/>
        </w:rPr>
      </w:pPr>
      <w:r>
        <w:rPr>
          <w:rFonts w:hint="eastAsia"/>
          <w:sz w:val="22"/>
        </w:rPr>
        <w:t>以上のように、最高裁判決ダミーのみは</w:t>
      </w:r>
      <w:r>
        <w:rPr>
          <w:sz w:val="22"/>
        </w:rPr>
        <w:t>5%</w:t>
      </w:r>
      <w:r>
        <w:rPr>
          <w:rFonts w:hint="eastAsia"/>
          <w:sz w:val="22"/>
        </w:rPr>
        <w:t>水準で有意となった。</w:t>
      </w:r>
    </w:p>
    <w:p w14:paraId="4913FE1C" w14:textId="77777777" w:rsidR="00C05B0B" w:rsidRDefault="00C05B0B" w:rsidP="00F90AD9">
      <w:pPr>
        <w:jc w:val="left"/>
        <w:rPr>
          <w:sz w:val="22"/>
        </w:rPr>
      </w:pPr>
    </w:p>
    <w:p w14:paraId="7C6D3B8D" w14:textId="7E979500" w:rsidR="00F90AD9" w:rsidRDefault="00012519" w:rsidP="00E96D25">
      <w:pPr>
        <w:pStyle w:val="3"/>
      </w:pPr>
      <w:bookmarkStart w:id="15" w:name="_Toc221603822"/>
      <w:r>
        <w:rPr>
          <w:rFonts w:hint="eastAsia"/>
        </w:rPr>
        <w:t>4</w:t>
      </w:r>
      <w:r>
        <w:rPr>
          <w:rFonts w:hint="eastAsia"/>
        </w:rPr>
        <w:t>－</w:t>
      </w:r>
      <w:r>
        <w:rPr>
          <w:rFonts w:hint="eastAsia"/>
        </w:rPr>
        <w:t>3</w:t>
      </w:r>
      <w:r>
        <w:rPr>
          <w:rFonts w:hint="eastAsia"/>
        </w:rPr>
        <w:t>－</w:t>
      </w:r>
      <w:r>
        <w:rPr>
          <w:rFonts w:hint="eastAsia"/>
        </w:rPr>
        <w:t>7</w:t>
      </w:r>
      <w:r w:rsidR="00F90AD9">
        <w:t xml:space="preserve"> </w:t>
      </w:r>
      <w:r w:rsidR="00DC5F6A">
        <w:rPr>
          <w:rFonts w:hint="eastAsia"/>
        </w:rPr>
        <w:t>実証分析結果</w:t>
      </w:r>
      <w:r w:rsidR="00F90AD9">
        <w:rPr>
          <w:rFonts w:hint="eastAsia"/>
        </w:rPr>
        <w:t>考察</w:t>
      </w:r>
      <w:bookmarkEnd w:id="15"/>
    </w:p>
    <w:p w14:paraId="05929A8B" w14:textId="477DBA71" w:rsidR="00C607A3" w:rsidRDefault="00F90AD9" w:rsidP="00A90096">
      <w:pPr>
        <w:jc w:val="left"/>
        <w:rPr>
          <w:sz w:val="22"/>
        </w:rPr>
      </w:pPr>
      <w:r>
        <w:rPr>
          <w:rFonts w:hint="eastAsia"/>
          <w:sz w:val="22"/>
        </w:rPr>
        <w:t xml:space="preserve">　全体および大手の分析においていずれも判決ダミーが有意な結果を得た。このことから、消費者金融市場に最高裁判決が構造変化を与えたという統計から導いた仮</w:t>
      </w:r>
      <w:r w:rsidR="007C2ACC">
        <w:rPr>
          <w:rFonts w:hint="eastAsia"/>
          <w:sz w:val="22"/>
        </w:rPr>
        <w:t>説</w:t>
      </w:r>
      <w:r>
        <w:rPr>
          <w:rFonts w:hint="eastAsia"/>
          <w:sz w:val="22"/>
        </w:rPr>
        <w:t>を支持できる。また判決が消費者金融会社の規模を問わず、貸出行動に影響を与えたことが示唆される。また係数を比較すると、全体においては</w:t>
      </w:r>
      <w:r>
        <w:rPr>
          <w:sz w:val="22"/>
        </w:rPr>
        <w:t>-0.368</w:t>
      </w:r>
      <w:r>
        <w:rPr>
          <w:rFonts w:hint="eastAsia"/>
          <w:sz w:val="22"/>
        </w:rPr>
        <w:t>、大手では</w:t>
      </w:r>
      <w:r>
        <w:rPr>
          <w:sz w:val="22"/>
        </w:rPr>
        <w:t>-0.104</w:t>
      </w:r>
      <w:r>
        <w:rPr>
          <w:rFonts w:hint="eastAsia"/>
          <w:sz w:val="22"/>
        </w:rPr>
        <w:t>と判決が全体により強く影響している。判決以後、アイフルが</w:t>
      </w:r>
      <w:r>
        <w:rPr>
          <w:sz w:val="22"/>
        </w:rPr>
        <w:t>2009</w:t>
      </w:r>
      <w:r>
        <w:rPr>
          <w:rFonts w:hint="eastAsia"/>
          <w:sz w:val="22"/>
        </w:rPr>
        <w:t>年</w:t>
      </w:r>
      <w:r>
        <w:rPr>
          <w:sz w:val="22"/>
        </w:rPr>
        <w:t>9</w:t>
      </w:r>
      <w:r>
        <w:rPr>
          <w:rFonts w:hint="eastAsia"/>
          <w:sz w:val="22"/>
        </w:rPr>
        <w:t>月に事業再生</w:t>
      </w:r>
      <w:r>
        <w:rPr>
          <w:sz w:val="22"/>
        </w:rPr>
        <w:t>ADR</w:t>
      </w:r>
      <w:r>
        <w:rPr>
          <w:rFonts w:hint="eastAsia"/>
          <w:sz w:val="22"/>
        </w:rPr>
        <w:t>を申請、武富士が同じく</w:t>
      </w:r>
      <w:r>
        <w:rPr>
          <w:sz w:val="22"/>
        </w:rPr>
        <w:t>2010</w:t>
      </w:r>
      <w:r>
        <w:rPr>
          <w:rFonts w:hint="eastAsia"/>
          <w:sz w:val="22"/>
        </w:rPr>
        <w:t>年</w:t>
      </w:r>
      <w:r>
        <w:rPr>
          <w:sz w:val="22"/>
        </w:rPr>
        <w:t>9</w:t>
      </w:r>
      <w:r>
        <w:rPr>
          <w:rFonts w:hint="eastAsia"/>
          <w:sz w:val="22"/>
        </w:rPr>
        <w:t>月に会社更生法の適用を申請、三洋信販が同年</w:t>
      </w:r>
      <w:r>
        <w:rPr>
          <w:sz w:val="22"/>
        </w:rPr>
        <w:t>10</w:t>
      </w:r>
      <w:r>
        <w:rPr>
          <w:rFonts w:hint="eastAsia"/>
          <w:sz w:val="22"/>
        </w:rPr>
        <w:t>月にプロミスに吸収合併され消滅するなど消費者金融大手の苦境が注目されたが、大手以外の消費者金融はそれ以上の勢いで貸出残高を減少させていたということになる。中小規模の消費者金融は自己資本が少ないため、急速なグレーゾーン金利の否定という事実上の制度変更と急増した過払い金返還請求に資金繰りが追いつかなかった可能性が以上の結果から想定できる。しかし実証するためには、費用構造に着目した厳密な分析が必要である。</w:t>
      </w:r>
    </w:p>
    <w:p w14:paraId="7172FADE" w14:textId="77777777" w:rsidR="00C607A3" w:rsidRDefault="00C607A3" w:rsidP="00C607A3"/>
    <w:p w14:paraId="630F17E6" w14:textId="77777777" w:rsidR="00DF3841" w:rsidRDefault="004465DC" w:rsidP="00E96D25">
      <w:pPr>
        <w:pStyle w:val="2"/>
      </w:pPr>
      <w:bookmarkStart w:id="16" w:name="_Toc221603825"/>
      <w:r>
        <w:rPr>
          <w:rFonts w:hint="eastAsia"/>
        </w:rPr>
        <w:t>5</w:t>
      </w:r>
      <w:r>
        <w:rPr>
          <w:rFonts w:hint="eastAsia"/>
        </w:rPr>
        <w:t>章　消費者</w:t>
      </w:r>
      <w:r w:rsidR="00DF3841">
        <w:rPr>
          <w:rFonts w:hint="eastAsia"/>
        </w:rPr>
        <w:t>余剰分析</w:t>
      </w:r>
      <w:bookmarkEnd w:id="16"/>
    </w:p>
    <w:p w14:paraId="5514B921" w14:textId="36779012" w:rsidR="00F90AD9" w:rsidRDefault="004F048F" w:rsidP="00DF3841">
      <w:r>
        <w:rPr>
          <w:rFonts w:hint="eastAsia"/>
        </w:rPr>
        <w:t xml:space="preserve">　</w:t>
      </w:r>
      <w:r w:rsidR="00651C0F">
        <w:rPr>
          <w:rFonts w:hint="eastAsia"/>
        </w:rPr>
        <w:t>本章</w:t>
      </w:r>
      <w:r>
        <w:rPr>
          <w:rFonts w:hint="eastAsia"/>
        </w:rPr>
        <w:t>では消費者金融市場における</w:t>
      </w:r>
      <w:r>
        <w:rPr>
          <w:rFonts w:hint="eastAsia"/>
        </w:rPr>
        <w:t>2006</w:t>
      </w:r>
      <w:r>
        <w:rPr>
          <w:rFonts w:hint="eastAsia"/>
        </w:rPr>
        <w:t>年以降の余剰の変化を分析する。第</w:t>
      </w:r>
      <w:r>
        <w:rPr>
          <w:rFonts w:hint="eastAsia"/>
        </w:rPr>
        <w:t>1</w:t>
      </w:r>
      <w:r>
        <w:rPr>
          <w:rFonts w:hint="eastAsia"/>
        </w:rPr>
        <w:t>に消費者余剰を求めるために需要曲線を導出する。そ</w:t>
      </w:r>
      <w:r w:rsidR="003764A5">
        <w:rPr>
          <w:rFonts w:hint="eastAsia"/>
        </w:rPr>
        <w:t>の需要曲線の導出に必要な金利弾力性を</w:t>
      </w:r>
      <w:r w:rsidR="003764A5">
        <w:rPr>
          <w:rFonts w:hint="eastAsia"/>
        </w:rPr>
        <w:t>91</w:t>
      </w:r>
      <w:r w:rsidR="003764A5">
        <w:rPr>
          <w:rFonts w:hint="eastAsia"/>
        </w:rPr>
        <w:t>年から</w:t>
      </w:r>
      <w:r w:rsidR="003764A5">
        <w:rPr>
          <w:rFonts w:hint="eastAsia"/>
        </w:rPr>
        <w:t>2005</w:t>
      </w:r>
      <w:r w:rsidR="003764A5">
        <w:rPr>
          <w:rFonts w:hint="eastAsia"/>
        </w:rPr>
        <w:t>年までの消費者金融貸出残高よりカリブレーションする。</w:t>
      </w:r>
      <w:r w:rsidR="004465DC">
        <w:rPr>
          <w:rFonts w:hint="eastAsia"/>
        </w:rPr>
        <w:t>第</w:t>
      </w:r>
      <w:r w:rsidR="004465DC">
        <w:rPr>
          <w:rFonts w:hint="eastAsia"/>
        </w:rPr>
        <w:t>2</w:t>
      </w:r>
      <w:r w:rsidR="004465DC">
        <w:rPr>
          <w:rFonts w:hint="eastAsia"/>
        </w:rPr>
        <w:t>に</w:t>
      </w:r>
      <w:r w:rsidR="0032150A">
        <w:rPr>
          <w:rFonts w:hint="eastAsia"/>
        </w:rPr>
        <w:t>その金利弾力性を用いて実際の需要曲線を描く。価格を縦軸、数量を横軸とする需要曲線においては、価格は（一件当たりの平均貸出量</w:t>
      </w:r>
      <m:oMath>
        <m:r>
          <m:rPr>
            <m:sty m:val="p"/>
          </m:rPr>
          <w:rPr>
            <w:rFonts w:ascii="Cambria Math" w:hAnsi="Cambria Math"/>
          </w:rPr>
          <m:t>×</m:t>
        </m:r>
      </m:oMath>
      <w:r w:rsidR="0032150A">
        <w:rPr>
          <w:rFonts w:hint="eastAsia"/>
        </w:rPr>
        <w:t>金利）、数量は（貸出残高</w:t>
      </w:r>
      <m:oMath>
        <m:r>
          <m:rPr>
            <m:sty m:val="p"/>
          </m:rPr>
          <w:rPr>
            <w:rFonts w:ascii="Cambria Math" w:hAnsi="Cambria Math"/>
          </w:rPr>
          <m:t>÷</m:t>
        </m:r>
        <m:r>
          <m:rPr>
            <m:sty m:val="p"/>
          </m:rPr>
          <w:rPr>
            <w:rFonts w:ascii="Cambria Math" w:hAnsi="Cambria Math" w:hint="eastAsia"/>
          </w:rPr>
          <m:t>一件当たりの平均貸出量</m:t>
        </m:r>
        <m:r>
          <m:rPr>
            <m:sty m:val="p"/>
          </m:rPr>
          <w:rPr>
            <w:rFonts w:ascii="Cambria Math" w:hint="eastAsia"/>
          </w:rPr>
          <m:t>）</m:t>
        </m:r>
      </m:oMath>
      <w:r w:rsidR="00F04C09">
        <w:rPr>
          <w:rFonts w:hint="eastAsia"/>
        </w:rPr>
        <w:t>と</w:t>
      </w:r>
      <w:r w:rsidR="00FB0FAB">
        <w:rPr>
          <w:rFonts w:hint="eastAsia"/>
        </w:rPr>
        <w:t>した</w:t>
      </w:r>
      <w:r w:rsidR="00F04C09">
        <w:rPr>
          <w:rFonts w:hint="eastAsia"/>
        </w:rPr>
        <w:t>。</w:t>
      </w:r>
      <w:r w:rsidR="004465DC">
        <w:rPr>
          <w:rFonts w:hint="eastAsia"/>
        </w:rPr>
        <w:t>第</w:t>
      </w:r>
      <w:r w:rsidR="004465DC">
        <w:rPr>
          <w:rFonts w:hint="eastAsia"/>
        </w:rPr>
        <w:t>3</w:t>
      </w:r>
      <w:r w:rsidR="004465DC">
        <w:rPr>
          <w:rFonts w:hint="eastAsia"/>
        </w:rPr>
        <w:t>に</w:t>
      </w:r>
      <w:r w:rsidR="005D2060">
        <w:rPr>
          <w:rFonts w:hint="eastAsia"/>
        </w:rPr>
        <w:t>2005</w:t>
      </w:r>
      <w:r w:rsidR="005D2060">
        <w:rPr>
          <w:rFonts w:hint="eastAsia"/>
        </w:rPr>
        <w:t>年を</w:t>
      </w:r>
      <w:r w:rsidR="005D2060">
        <w:rPr>
          <w:rFonts w:hint="eastAsia"/>
        </w:rPr>
        <w:t>Without</w:t>
      </w:r>
      <w:r w:rsidR="005D2060">
        <w:rPr>
          <w:rFonts w:hint="eastAsia"/>
        </w:rPr>
        <w:t>ケースとして最高裁判決及び貸金業法改正の影響がある</w:t>
      </w:r>
      <w:r w:rsidR="005D2060">
        <w:rPr>
          <w:rFonts w:hint="eastAsia"/>
        </w:rPr>
        <w:t>2006</w:t>
      </w:r>
      <w:r w:rsidR="005D2060">
        <w:rPr>
          <w:rFonts w:hint="eastAsia"/>
        </w:rPr>
        <w:t>年からの</w:t>
      </w:r>
      <w:r w:rsidR="005D2060">
        <w:rPr>
          <w:rFonts w:hint="eastAsia"/>
        </w:rPr>
        <w:t>5</w:t>
      </w:r>
      <w:r w:rsidR="005D2060">
        <w:rPr>
          <w:rFonts w:hint="eastAsia"/>
        </w:rPr>
        <w:t>年間を</w:t>
      </w:r>
      <w:r w:rsidR="005D2060">
        <w:rPr>
          <w:rFonts w:hint="eastAsia"/>
        </w:rPr>
        <w:t>With</w:t>
      </w:r>
      <w:r w:rsidR="005D2060">
        <w:rPr>
          <w:rFonts w:hint="eastAsia"/>
        </w:rPr>
        <w:t>ケースとし</w:t>
      </w:r>
      <w:r w:rsidR="004465DC">
        <w:rPr>
          <w:rFonts w:hint="eastAsia"/>
        </w:rPr>
        <w:t>て消費者余剰を求めた</w:t>
      </w:r>
      <w:r w:rsidR="00FB0FAB">
        <w:rPr>
          <w:rFonts w:hint="eastAsia"/>
        </w:rPr>
        <w:t>。</w:t>
      </w:r>
    </w:p>
    <w:p w14:paraId="170F1A61" w14:textId="77777777" w:rsidR="00F90AD9" w:rsidRDefault="00F90AD9" w:rsidP="00DF3841"/>
    <w:p w14:paraId="3973CA97" w14:textId="77777777" w:rsidR="00F90AD9" w:rsidRDefault="00D77C9C" w:rsidP="00E96D25">
      <w:pPr>
        <w:pStyle w:val="3"/>
      </w:pPr>
      <w:bookmarkStart w:id="17" w:name="_Toc221603826"/>
      <w:r>
        <w:rPr>
          <w:rFonts w:hint="eastAsia"/>
        </w:rPr>
        <w:t>5</w:t>
      </w:r>
      <w:r>
        <w:rPr>
          <w:rFonts w:hint="eastAsia"/>
        </w:rPr>
        <w:t>－</w:t>
      </w:r>
      <w:r>
        <w:rPr>
          <w:rFonts w:hint="eastAsia"/>
        </w:rPr>
        <w:t>1</w:t>
      </w:r>
      <w:r w:rsidR="00F90AD9">
        <w:rPr>
          <w:rFonts w:hint="eastAsia"/>
        </w:rPr>
        <w:t xml:space="preserve">　最高裁判決以前の金利弾力性の比較分析</w:t>
      </w:r>
      <w:bookmarkEnd w:id="17"/>
    </w:p>
    <w:p w14:paraId="2A2FC40B" w14:textId="34804C07" w:rsidR="00F90AD9" w:rsidRDefault="00D77C9C" w:rsidP="00D77C9C">
      <w:pPr>
        <w:ind w:firstLineChars="100" w:firstLine="220"/>
        <w:jc w:val="left"/>
        <w:rPr>
          <w:sz w:val="22"/>
        </w:rPr>
      </w:pPr>
      <w:r>
        <w:rPr>
          <w:rFonts w:hint="eastAsia"/>
          <w:sz w:val="22"/>
        </w:rPr>
        <w:t>この節</w:t>
      </w:r>
      <w:r w:rsidR="00F90AD9">
        <w:rPr>
          <w:rFonts w:hint="eastAsia"/>
          <w:sz w:val="22"/>
        </w:rPr>
        <w:t>では最高裁判決以前の消費者金融市場において金利の変化が貸出量にどのような影響を与えていたかを市場全体</w:t>
      </w:r>
      <w:r>
        <w:rPr>
          <w:rFonts w:hint="eastAsia"/>
          <w:sz w:val="22"/>
        </w:rPr>
        <w:t>のデータをもって</w:t>
      </w:r>
      <w:r w:rsidR="00F90AD9">
        <w:rPr>
          <w:rFonts w:hint="eastAsia"/>
          <w:sz w:val="22"/>
        </w:rPr>
        <w:t>実証分析する。分析手法には</w:t>
      </w:r>
      <w:r w:rsidR="00651C0F">
        <w:rPr>
          <w:rFonts w:hint="eastAsia"/>
          <w:sz w:val="22"/>
        </w:rPr>
        <w:t>4</w:t>
      </w:r>
      <w:r w:rsidR="00F90AD9">
        <w:rPr>
          <w:rFonts w:hint="eastAsia"/>
          <w:sz w:val="22"/>
        </w:rPr>
        <w:t>章と同じく</w:t>
      </w:r>
      <w:r w:rsidR="00F90AD9">
        <w:rPr>
          <w:sz w:val="22"/>
        </w:rPr>
        <w:t>Box-Jenkins</w:t>
      </w:r>
      <w:r w:rsidR="00F90AD9">
        <w:rPr>
          <w:rFonts w:hint="eastAsia"/>
          <w:sz w:val="22"/>
        </w:rPr>
        <w:t>法による時系列解析を用いた。データの値は</w:t>
      </w:r>
      <w:r w:rsidR="00F90AD9">
        <w:rPr>
          <w:sz w:val="22"/>
        </w:rPr>
        <w:t>1981</w:t>
      </w:r>
      <w:r w:rsidR="00F90AD9">
        <w:rPr>
          <w:rFonts w:hint="eastAsia"/>
          <w:sz w:val="22"/>
        </w:rPr>
        <w:t>年度から</w:t>
      </w:r>
      <w:r w:rsidR="00F90AD9">
        <w:rPr>
          <w:sz w:val="22"/>
        </w:rPr>
        <w:t>2005</w:t>
      </w:r>
      <w:r w:rsidR="00F90AD9">
        <w:rPr>
          <w:rFonts w:hint="eastAsia"/>
          <w:sz w:val="22"/>
        </w:rPr>
        <w:t>年度までの</w:t>
      </w:r>
      <w:r w:rsidR="00F90AD9">
        <w:rPr>
          <w:sz w:val="22"/>
        </w:rPr>
        <w:t>25</w:t>
      </w:r>
      <w:r w:rsidR="00F90AD9">
        <w:rPr>
          <w:rFonts w:hint="eastAsia"/>
          <w:sz w:val="22"/>
        </w:rPr>
        <w:t>個の年次データを用いた。</w:t>
      </w:r>
    </w:p>
    <w:p w14:paraId="0580B4E3" w14:textId="77777777" w:rsidR="00D77C9C" w:rsidRDefault="00D77C9C" w:rsidP="00D77C9C">
      <w:pPr>
        <w:ind w:firstLineChars="100" w:firstLine="220"/>
        <w:jc w:val="left"/>
        <w:rPr>
          <w:sz w:val="22"/>
        </w:rPr>
      </w:pPr>
    </w:p>
    <w:p w14:paraId="35A8289B" w14:textId="1F085443" w:rsidR="00F90AD9" w:rsidRDefault="00D77C9C" w:rsidP="00E96D25">
      <w:pPr>
        <w:pStyle w:val="3"/>
      </w:pPr>
      <w:bookmarkStart w:id="18" w:name="_Toc221603827"/>
      <w:r>
        <w:rPr>
          <w:rFonts w:hint="eastAsia"/>
        </w:rPr>
        <w:t>5</w:t>
      </w:r>
      <w:r>
        <w:rPr>
          <w:rFonts w:hint="eastAsia"/>
        </w:rPr>
        <w:t>－</w:t>
      </w:r>
      <w:r>
        <w:rPr>
          <w:rFonts w:hint="eastAsia"/>
        </w:rPr>
        <w:t>1</w:t>
      </w:r>
      <w:r>
        <w:rPr>
          <w:rFonts w:hint="eastAsia"/>
        </w:rPr>
        <w:t>－</w:t>
      </w:r>
      <w:r>
        <w:rPr>
          <w:rFonts w:hint="eastAsia"/>
        </w:rPr>
        <w:t>1</w:t>
      </w:r>
      <w:r w:rsidR="00F90AD9">
        <w:t>.</w:t>
      </w:r>
      <w:r w:rsidR="00F90AD9">
        <w:rPr>
          <w:rFonts w:hint="eastAsia"/>
        </w:rPr>
        <w:t xml:space="preserve">　</w:t>
      </w:r>
      <w:r w:rsidR="00C05B0B">
        <w:rPr>
          <w:rFonts w:hint="eastAsia"/>
        </w:rPr>
        <w:t>金利弾力性</w:t>
      </w:r>
      <w:r w:rsidR="00F90AD9">
        <w:rPr>
          <w:rFonts w:hint="eastAsia"/>
        </w:rPr>
        <w:t>モデル</w:t>
      </w:r>
      <w:bookmarkEnd w:id="18"/>
    </w:p>
    <w:p w14:paraId="0F2A885F" w14:textId="77777777" w:rsidR="00F90AD9" w:rsidRDefault="00F90AD9" w:rsidP="00F90AD9">
      <w:pPr>
        <w:jc w:val="left"/>
        <w:rPr>
          <w:sz w:val="22"/>
        </w:rPr>
      </w:pPr>
      <w:r>
        <w:rPr>
          <w:rFonts w:hint="eastAsia"/>
          <w:sz w:val="22"/>
        </w:rPr>
        <w:t xml:space="preserve">　</w:t>
      </w:r>
      <w:r>
        <w:rPr>
          <w:sz w:val="22"/>
        </w:rPr>
        <w:t>Box-Jenkins</w:t>
      </w:r>
      <w:r>
        <w:rPr>
          <w:rFonts w:hint="eastAsia"/>
          <w:sz w:val="22"/>
        </w:rPr>
        <w:t>法に基づきモデル選択を行い、最終モデルは以下のようになった。</w:t>
      </w:r>
    </w:p>
    <w:p w14:paraId="6DBE519E" w14:textId="77777777" w:rsidR="00F90AD9" w:rsidRDefault="00F90AD9" w:rsidP="00F90AD9">
      <w:pPr>
        <w:jc w:val="left"/>
        <w:rPr>
          <w:sz w:val="22"/>
        </w:rPr>
      </w:pPr>
    </w:p>
    <w:p w14:paraId="394E0193" w14:textId="77777777" w:rsidR="00F90AD9" w:rsidRDefault="00F90AD9" w:rsidP="00F90AD9">
      <w:pPr>
        <w:ind w:leftChars="-4" w:left="-8"/>
        <w:jc w:val="center"/>
        <w:rPr>
          <w:sz w:val="22"/>
        </w:rPr>
      </w:pPr>
      <w:r w:rsidRPr="00A55B38">
        <w:rPr>
          <w:position w:val="-12"/>
        </w:rPr>
        <w:object w:dxaOrig="7400" w:dyaOrig="340" w14:anchorId="46C0FF6A">
          <v:shape id="_x0000_i1026" type="#_x0000_t75" style="width:437.85pt;height:20.1pt" o:ole="">
            <v:imagedata r:id="rId13" o:title=""/>
          </v:shape>
          <o:OLEObject Type="Embed" ProgID="Equation.3" ShapeID="_x0000_i1026" DrawAspect="Content" ObjectID="_1297369716" r:id="rId14"/>
        </w:object>
      </w:r>
      <w:r>
        <w:rPr>
          <w:position w:val="-12"/>
        </w:rPr>
        <w:tab/>
      </w:r>
      <m:oMath>
        <m:r>
          <w:rPr>
            <w:rFonts w:ascii="Cambria Math" w:hAnsi="Cambria Math"/>
            <w:sz w:val="22"/>
          </w:rPr>
          <m:t>ln</m:t>
        </m:r>
        <m:sSub>
          <m:sSubPr>
            <m:ctrlPr>
              <w:rPr>
                <w:rFonts w:ascii="Cambria Math" w:hAnsi="Cambria Math"/>
                <w:i/>
                <w:sz w:val="22"/>
              </w:rPr>
            </m:ctrlPr>
          </m:sSubPr>
          <m:e>
            <m:r>
              <w:rPr>
                <w:rFonts w:ascii="Cambria Math" w:hAnsi="Cambria Math"/>
                <w:sz w:val="22"/>
              </w:rPr>
              <m:t>zandaka</m:t>
            </m:r>
          </m:e>
          <m:sub>
            <m:r>
              <w:rPr>
                <w:rFonts w:ascii="Cambria Math" w:hAnsi="Cambria Math"/>
                <w:sz w:val="22"/>
              </w:rPr>
              <m:t>t</m:t>
            </m:r>
          </m:sub>
        </m:sSub>
      </m:oMath>
      <w:r>
        <w:rPr>
          <w:sz w:val="22"/>
        </w:rPr>
        <w:t xml:space="preserve">: </w:t>
      </w:r>
      <w:r>
        <w:rPr>
          <w:rFonts w:hint="eastAsia"/>
          <w:sz w:val="22"/>
        </w:rPr>
        <w:t>ｔ年</w:t>
      </w:r>
      <w:r w:rsidRPr="004B5F6E">
        <w:rPr>
          <w:rFonts w:hint="eastAsia"/>
          <w:sz w:val="22"/>
        </w:rPr>
        <w:t>における大手５社の貸出残高の合計（対数値）</w:t>
      </w:r>
    </w:p>
    <w:p w14:paraId="009F42E4" w14:textId="77777777" w:rsidR="00F90AD9" w:rsidRDefault="00551E55" w:rsidP="00F90AD9">
      <w:pPr>
        <w:jc w:val="center"/>
        <w:rPr>
          <w:sz w:val="22"/>
        </w:rPr>
      </w:pPr>
      <m:oMath>
        <m:sSub>
          <m:sSubPr>
            <m:ctrlPr>
              <w:rPr>
                <w:rFonts w:ascii="Cambria Math" w:hAnsi="Cambria Math"/>
                <w:i/>
                <w:sz w:val="22"/>
              </w:rPr>
            </m:ctrlPr>
          </m:sSubPr>
          <m:e>
            <m:r>
              <w:rPr>
                <w:rFonts w:ascii="Cambria Math" w:hAnsi="Cambria Math"/>
                <w:sz w:val="22"/>
              </w:rPr>
              <m:t>lnrirate</m:t>
            </m:r>
          </m:e>
          <m:sub>
            <m:r>
              <w:rPr>
                <w:rFonts w:ascii="Cambria Math" w:hAnsi="Cambria Math"/>
                <w:sz w:val="22"/>
              </w:rPr>
              <m:t>t</m:t>
            </m:r>
          </m:sub>
        </m:sSub>
      </m:oMath>
      <w:r w:rsidR="00F90AD9">
        <w:rPr>
          <w:sz w:val="22"/>
        </w:rPr>
        <w:t>:</w:t>
      </w:r>
      <w:r w:rsidR="00F90AD9" w:rsidRPr="004B5F6E">
        <w:rPr>
          <w:rFonts w:hAnsi="ＭＳ Ｐゴシック" w:hint="eastAsia"/>
          <w:color w:val="000000" w:themeColor="text1"/>
          <w:kern w:val="24"/>
          <w:sz w:val="36"/>
          <w:szCs w:val="36"/>
        </w:rPr>
        <w:t xml:space="preserve"> </w:t>
      </w:r>
      <w:r w:rsidR="00F90AD9">
        <w:rPr>
          <w:rFonts w:hint="eastAsia"/>
          <w:sz w:val="22"/>
        </w:rPr>
        <w:t>ｔ年</w:t>
      </w:r>
      <w:r w:rsidR="00F90AD9" w:rsidRPr="004B5F6E">
        <w:rPr>
          <w:rFonts w:hint="eastAsia"/>
          <w:sz w:val="22"/>
        </w:rPr>
        <w:t>における大手５社の</w:t>
      </w:r>
      <w:r w:rsidR="00F90AD9">
        <w:rPr>
          <w:rFonts w:hint="eastAsia"/>
          <w:sz w:val="22"/>
        </w:rPr>
        <w:t>実質</w:t>
      </w:r>
      <w:r w:rsidR="00F90AD9" w:rsidRPr="004B5F6E">
        <w:rPr>
          <w:rFonts w:hint="eastAsia"/>
          <w:sz w:val="22"/>
        </w:rPr>
        <w:t>平均約定金利（対数値）</w:t>
      </w:r>
    </w:p>
    <w:p w14:paraId="78D5DA2D" w14:textId="77777777" w:rsidR="00F90AD9" w:rsidRPr="002F5F5F" w:rsidRDefault="00551E55" w:rsidP="00F90AD9">
      <w:pPr>
        <w:jc w:val="center"/>
        <w:rPr>
          <w:rFonts w:ascii="Cambria Math" w:hAnsi="Cambria Math"/>
          <w:sz w:val="22"/>
          <w:oMath/>
        </w:rPr>
      </w:pPr>
      <m:oMathPara>
        <m:oMathParaPr>
          <m:jc m:val="center"/>
        </m:oMathParaPr>
        <m:oMath>
          <m:sSub>
            <m:sSubPr>
              <m:ctrlPr>
                <w:rPr>
                  <w:rFonts w:ascii="Cambria Math" w:hAnsi="Cambria Math"/>
                  <w:i/>
                  <w:sz w:val="22"/>
                </w:rPr>
              </m:ctrlPr>
            </m:sSubPr>
            <m:e>
              <m:r>
                <w:rPr>
                  <w:rFonts w:ascii="Cambria Math" w:hAnsi="Cambria Math" w:cs="STIXGeneral-Italic"/>
                  <w:sz w:val="22"/>
                </w:rPr>
                <m:t>lnrcons</m:t>
              </m:r>
            </m:e>
            <m:sub>
              <m:r>
                <w:rPr>
                  <w:rFonts w:ascii="Cambria Math" w:hAnsi="Cambria Math"/>
                  <w:sz w:val="22"/>
                </w:rPr>
                <m:t>t</m:t>
              </m:r>
            </m:sub>
          </m:sSub>
          <m:r>
            <w:rPr>
              <w:rFonts w:ascii="Cambria Math" w:hAnsi="Cambria Math"/>
              <w:sz w:val="22"/>
            </w:rPr>
            <m:t>:</m:t>
          </m:r>
          <m:r>
            <m:rPr>
              <m:sty m:val="p"/>
            </m:rPr>
            <w:rPr>
              <w:rFonts w:ascii="Cambria Math" w:hAnsi="Cambria Math" w:hint="eastAsia"/>
              <w:sz w:val="22"/>
            </w:rPr>
            <m:t>ｔ</m:t>
          </m:r>
          <m:r>
            <m:rPr>
              <m:sty m:val="p"/>
            </m:rPr>
            <w:rPr>
              <w:rFonts w:ascii="Cambria Math" w:hAnsi="Cambria Math"/>
              <w:sz w:val="22"/>
            </w:rPr>
            <m:t>年</m:t>
          </m:r>
          <m:r>
            <m:rPr>
              <m:sty m:val="p"/>
            </m:rPr>
            <w:rPr>
              <w:rFonts w:ascii="Cambria Math" w:hAnsi="Cambria Math" w:hint="eastAsia"/>
              <w:sz w:val="22"/>
            </w:rPr>
            <m:t>における一世帯あたり一ヶ月の</m:t>
          </m:r>
          <m:r>
            <m:rPr>
              <m:sty m:val="p"/>
            </m:rPr>
            <w:rPr>
              <w:rFonts w:ascii="Cambria Math" w:hAnsi="Cambria Math"/>
              <w:sz w:val="22"/>
            </w:rPr>
            <m:t>平均</m:t>
          </m:r>
          <m:r>
            <m:rPr>
              <m:sty m:val="p"/>
            </m:rPr>
            <w:rPr>
              <w:rFonts w:ascii="Cambria Math" w:hAnsi="Cambria Math" w:hint="eastAsia"/>
              <w:sz w:val="22"/>
            </w:rPr>
            <m:t>消費支出</m:t>
          </m:r>
          <m:r>
            <m:rPr>
              <m:sty m:val="p"/>
            </m:rPr>
            <w:rPr>
              <w:rFonts w:ascii="Cambria Math" w:hAnsi="Cambria Math"/>
              <w:sz w:val="22"/>
            </w:rPr>
            <m:t xml:space="preserve"> </m:t>
          </m:r>
          <m:r>
            <m:rPr>
              <m:sty m:val="p"/>
            </m:rPr>
            <w:rPr>
              <w:rFonts w:ascii="Cambria Math" w:hAnsi="Cambria Math" w:hint="eastAsia"/>
              <w:sz w:val="22"/>
            </w:rPr>
            <m:t>（対数値）</m:t>
          </m:r>
        </m:oMath>
      </m:oMathPara>
    </w:p>
    <w:p w14:paraId="3F1FD6C7" w14:textId="77777777" w:rsidR="00F90AD9" w:rsidRPr="009B3C4E" w:rsidRDefault="00551E55" w:rsidP="00F90AD9">
      <w:pPr>
        <w:jc w:val="center"/>
        <w:rPr>
          <w:sz w:val="22"/>
        </w:rPr>
      </w:pPr>
      <m:oMathPara>
        <m:oMath>
          <m:sSub>
            <m:sSubPr>
              <m:ctrlPr>
                <w:rPr>
                  <w:rFonts w:ascii="Cambria Math" w:hAnsi="Cambria Math"/>
                  <w:i/>
                  <w:sz w:val="22"/>
                </w:rPr>
              </m:ctrlPr>
            </m:sSubPr>
            <m:e>
              <m:r>
                <w:rPr>
                  <w:rFonts w:ascii="Cambria Math" w:hAnsi="Cambria Math"/>
                  <w:sz w:val="22"/>
                </w:rPr>
                <m:t>ε</m:t>
              </m:r>
            </m:e>
            <m:sub>
              <m:r>
                <w:rPr>
                  <w:rFonts w:ascii="Cambria Math" w:hAnsi="Cambria Math"/>
                  <w:sz w:val="22"/>
                </w:rPr>
                <m:t>t</m:t>
              </m:r>
            </m:sub>
          </m:sSub>
          <m:r>
            <w:rPr>
              <w:rFonts w:ascii="Cambria Math" w:hAnsi="Cambria Math"/>
              <w:sz w:val="22"/>
            </w:rPr>
            <m:t>：</m:t>
          </m:r>
          <m:r>
            <m:rPr>
              <m:sty m:val="p"/>
            </m:rPr>
            <w:rPr>
              <w:rFonts w:ascii="Cambria Math" w:hAnsi="Cambria Math"/>
              <w:sz w:val="22"/>
            </w:rPr>
            <m:t>誤差項</m:t>
          </m:r>
        </m:oMath>
      </m:oMathPara>
    </w:p>
    <w:p w14:paraId="437F5AFF" w14:textId="77777777" w:rsidR="00F90AD9" w:rsidRPr="00426393" w:rsidRDefault="00F90AD9" w:rsidP="00F90AD9">
      <w:pPr>
        <w:ind w:leftChars="-177" w:left="-372"/>
        <w:jc w:val="center"/>
        <w:rPr>
          <w:position w:val="-12"/>
          <w:sz w:val="22"/>
        </w:rPr>
      </w:pPr>
      <w:r>
        <w:rPr>
          <w:rFonts w:hint="eastAsia"/>
          <w:position w:val="-12"/>
          <w:sz w:val="22"/>
        </w:rPr>
        <w:t>Δは１階階差を表す</w:t>
      </w:r>
    </w:p>
    <w:p w14:paraId="07D2C627" w14:textId="77777777" w:rsidR="00F90AD9" w:rsidRDefault="008950C7" w:rsidP="00E96D25">
      <w:pPr>
        <w:pStyle w:val="3"/>
      </w:pPr>
      <w:bookmarkStart w:id="19" w:name="_Toc221603828"/>
      <w:r>
        <w:rPr>
          <w:rFonts w:hint="eastAsia"/>
        </w:rPr>
        <w:t>5</w:t>
      </w:r>
      <w:r>
        <w:rPr>
          <w:rFonts w:hint="eastAsia"/>
        </w:rPr>
        <w:t>－</w:t>
      </w:r>
      <w:r>
        <w:rPr>
          <w:rFonts w:hint="eastAsia"/>
        </w:rPr>
        <w:t>1</w:t>
      </w:r>
      <w:r>
        <w:rPr>
          <w:rFonts w:hint="eastAsia"/>
        </w:rPr>
        <w:t>－</w:t>
      </w:r>
      <w:r>
        <w:rPr>
          <w:rFonts w:hint="eastAsia"/>
        </w:rPr>
        <w:t>2</w:t>
      </w:r>
      <w:r w:rsidR="00F90AD9">
        <w:rPr>
          <w:rFonts w:hint="eastAsia"/>
        </w:rPr>
        <w:t xml:space="preserve">　推計結果</w:t>
      </w:r>
      <w:bookmarkEnd w:id="19"/>
    </w:p>
    <w:p w14:paraId="6B7940E6" w14:textId="7A3FCDFC" w:rsidR="00901E17" w:rsidRDefault="00651C0F" w:rsidP="00901E17">
      <w:pPr>
        <w:jc w:val="center"/>
        <w:rPr>
          <w:sz w:val="22"/>
        </w:rPr>
      </w:pPr>
      <w:r>
        <w:rPr>
          <w:rFonts w:hint="eastAsia"/>
          <w:sz w:val="22"/>
        </w:rPr>
        <w:t>表</w:t>
      </w:r>
      <w:r>
        <w:rPr>
          <w:rFonts w:hint="eastAsia"/>
          <w:sz w:val="22"/>
        </w:rPr>
        <w:t>5</w:t>
      </w:r>
      <w:r>
        <w:rPr>
          <w:rFonts w:hint="eastAsia"/>
          <w:sz w:val="22"/>
        </w:rPr>
        <w:t>−</w:t>
      </w:r>
      <w:r>
        <w:rPr>
          <w:rFonts w:hint="eastAsia"/>
          <w:sz w:val="22"/>
        </w:rPr>
        <w:t>1</w:t>
      </w:r>
    </w:p>
    <w:tbl>
      <w:tblPr>
        <w:tblStyle w:val="4"/>
        <w:tblW w:w="0" w:type="auto"/>
        <w:tblLook w:val="04A0" w:firstRow="1" w:lastRow="0" w:firstColumn="1" w:lastColumn="0" w:noHBand="0" w:noVBand="1"/>
      </w:tblPr>
      <w:tblGrid>
        <w:gridCol w:w="2174"/>
        <w:gridCol w:w="2174"/>
        <w:gridCol w:w="2174"/>
        <w:gridCol w:w="2174"/>
      </w:tblGrid>
      <w:tr w:rsidR="00F90AD9" w14:paraId="66CA665D" w14:textId="77777777" w:rsidTr="000252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3C086DA8" w14:textId="77777777" w:rsidR="00F90AD9" w:rsidRDefault="00F90AD9" w:rsidP="0002524F">
            <w:pPr>
              <w:jc w:val="left"/>
              <w:rPr>
                <w:sz w:val="22"/>
                <w:szCs w:val="22"/>
              </w:rPr>
            </w:pPr>
            <w:r>
              <w:rPr>
                <w:rFonts w:hint="eastAsia"/>
                <w:sz w:val="22"/>
                <w:szCs w:val="22"/>
              </w:rPr>
              <w:t>変数</w:t>
            </w:r>
          </w:p>
        </w:tc>
        <w:tc>
          <w:tcPr>
            <w:tcW w:w="2174" w:type="dxa"/>
          </w:tcPr>
          <w:p w14:paraId="2A63954F" w14:textId="77777777" w:rsidR="00F90AD9" w:rsidRDefault="00F90AD9" w:rsidP="0002524F">
            <w:pPr>
              <w:jc w:val="left"/>
              <w:cnfStyle w:val="100000000000" w:firstRow="1" w:lastRow="0" w:firstColumn="0" w:lastColumn="0" w:oddVBand="0" w:evenVBand="0" w:oddHBand="0" w:evenHBand="0" w:firstRowFirstColumn="0" w:firstRowLastColumn="0" w:lastRowFirstColumn="0" w:lastRowLastColumn="0"/>
              <w:rPr>
                <w:sz w:val="22"/>
                <w:szCs w:val="22"/>
              </w:rPr>
            </w:pPr>
            <w:r>
              <w:rPr>
                <w:rFonts w:hint="eastAsia"/>
                <w:sz w:val="22"/>
                <w:szCs w:val="22"/>
              </w:rPr>
              <w:t>係数</w:t>
            </w:r>
          </w:p>
        </w:tc>
        <w:tc>
          <w:tcPr>
            <w:tcW w:w="2174" w:type="dxa"/>
          </w:tcPr>
          <w:p w14:paraId="4963B1EB" w14:textId="77777777" w:rsidR="00F90AD9" w:rsidRDefault="00F90AD9" w:rsidP="0002524F">
            <w:pPr>
              <w:jc w:val="left"/>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w:t>
            </w:r>
            <w:r>
              <w:rPr>
                <w:rFonts w:hint="eastAsia"/>
                <w:sz w:val="22"/>
                <w:szCs w:val="22"/>
              </w:rPr>
              <w:t>値</w:t>
            </w:r>
          </w:p>
        </w:tc>
        <w:tc>
          <w:tcPr>
            <w:tcW w:w="2174" w:type="dxa"/>
          </w:tcPr>
          <w:p w14:paraId="10AD6362" w14:textId="77777777" w:rsidR="00F90AD9" w:rsidRDefault="00F90AD9" w:rsidP="0002524F">
            <w:pPr>
              <w:jc w:val="left"/>
              <w:cnfStyle w:val="100000000000" w:firstRow="1" w:lastRow="0" w:firstColumn="0" w:lastColumn="0" w:oddVBand="0" w:evenVBand="0" w:oddHBand="0" w:evenHBand="0" w:firstRowFirstColumn="0" w:firstRowLastColumn="0" w:lastRowFirstColumn="0" w:lastRowLastColumn="0"/>
              <w:rPr>
                <w:sz w:val="22"/>
                <w:szCs w:val="22"/>
              </w:rPr>
            </w:pPr>
            <w:r>
              <w:rPr>
                <w:rFonts w:hint="eastAsia"/>
                <w:sz w:val="22"/>
                <w:szCs w:val="22"/>
              </w:rPr>
              <w:t>判定</w:t>
            </w:r>
          </w:p>
        </w:tc>
      </w:tr>
      <w:tr w:rsidR="00F90AD9" w14:paraId="3E395011" w14:textId="77777777" w:rsidTr="0002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7DC5EDB9" w14:textId="77777777" w:rsidR="00F90AD9" w:rsidRPr="00903F68" w:rsidRDefault="00F90AD9" w:rsidP="0002524F">
            <w:pPr>
              <w:jc w:val="left"/>
              <w:rPr>
                <w:b w:val="0"/>
                <w:sz w:val="22"/>
                <w:szCs w:val="22"/>
              </w:rPr>
            </w:pPr>
            <w:proofErr w:type="spellStart"/>
            <w:r w:rsidRPr="00903F68">
              <w:rPr>
                <w:rFonts w:cs="Kefa"/>
                <w:b w:val="0"/>
                <w:sz w:val="22"/>
                <w:szCs w:val="22"/>
              </w:rPr>
              <w:t>Δ</w:t>
            </w:r>
            <w:r w:rsidRPr="00903F68">
              <w:rPr>
                <w:b w:val="0"/>
                <w:sz w:val="22"/>
                <w:szCs w:val="22"/>
              </w:rPr>
              <w:t>lnrirate</w:t>
            </w:r>
            <w:proofErr w:type="spellEnd"/>
          </w:p>
        </w:tc>
        <w:tc>
          <w:tcPr>
            <w:tcW w:w="2174" w:type="dxa"/>
          </w:tcPr>
          <w:p w14:paraId="2D3DE0A6"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-2.391</w:t>
            </w:r>
          </w:p>
        </w:tc>
        <w:tc>
          <w:tcPr>
            <w:tcW w:w="2174" w:type="dxa"/>
          </w:tcPr>
          <w:p w14:paraId="39DFFF52"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3.08</w:t>
            </w:r>
          </w:p>
        </w:tc>
        <w:tc>
          <w:tcPr>
            <w:tcW w:w="2174" w:type="dxa"/>
          </w:tcPr>
          <w:p w14:paraId="6152BD69"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F90AD9" w14:paraId="48F7EB0B" w14:textId="77777777" w:rsidTr="000252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37C17DBC" w14:textId="77777777" w:rsidR="00F90AD9" w:rsidRPr="00903F68" w:rsidRDefault="00F90AD9" w:rsidP="0002524F">
            <w:pPr>
              <w:jc w:val="left"/>
              <w:rPr>
                <w:b w:val="0"/>
                <w:sz w:val="22"/>
                <w:szCs w:val="22"/>
              </w:rPr>
            </w:pPr>
            <w:proofErr w:type="spellStart"/>
            <w:r w:rsidRPr="00903F68">
              <w:rPr>
                <w:rFonts w:cs="Kefa"/>
                <w:b w:val="0"/>
                <w:sz w:val="22"/>
                <w:szCs w:val="22"/>
              </w:rPr>
              <w:t>Δ</w:t>
            </w:r>
            <w:r w:rsidRPr="00903F68">
              <w:rPr>
                <w:b w:val="0"/>
                <w:sz w:val="22"/>
                <w:szCs w:val="22"/>
              </w:rPr>
              <w:t>lncons</w:t>
            </w:r>
            <w:proofErr w:type="spellEnd"/>
          </w:p>
        </w:tc>
        <w:tc>
          <w:tcPr>
            <w:tcW w:w="2174" w:type="dxa"/>
          </w:tcPr>
          <w:p w14:paraId="15015BCF"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3.311</w:t>
            </w:r>
          </w:p>
        </w:tc>
        <w:tc>
          <w:tcPr>
            <w:tcW w:w="2174" w:type="dxa"/>
          </w:tcPr>
          <w:p w14:paraId="702BC4C0"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3.07</w:t>
            </w:r>
          </w:p>
        </w:tc>
        <w:tc>
          <w:tcPr>
            <w:tcW w:w="2174" w:type="dxa"/>
          </w:tcPr>
          <w:p w14:paraId="5A27EE90"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w:t>
            </w:r>
          </w:p>
        </w:tc>
      </w:tr>
      <w:tr w:rsidR="00F90AD9" w14:paraId="74A8DC93" w14:textId="77777777" w:rsidTr="0002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6A00F1F1" w14:textId="77777777" w:rsidR="00F90AD9" w:rsidRPr="00903F68" w:rsidRDefault="00F90AD9" w:rsidP="0002524F">
            <w:pPr>
              <w:jc w:val="left"/>
              <w:rPr>
                <w:b w:val="0"/>
                <w:sz w:val="22"/>
                <w:szCs w:val="22"/>
              </w:rPr>
            </w:pPr>
            <w:r>
              <w:rPr>
                <w:b w:val="0"/>
                <w:sz w:val="22"/>
                <w:szCs w:val="22"/>
              </w:rPr>
              <w:t>MA(1)</w:t>
            </w:r>
          </w:p>
        </w:tc>
        <w:tc>
          <w:tcPr>
            <w:tcW w:w="2174" w:type="dxa"/>
          </w:tcPr>
          <w:p w14:paraId="414E8870"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2.231</w:t>
            </w:r>
          </w:p>
        </w:tc>
        <w:tc>
          <w:tcPr>
            <w:tcW w:w="2174" w:type="dxa"/>
          </w:tcPr>
          <w:p w14:paraId="7CD4FB03"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4.469</w:t>
            </w:r>
          </w:p>
        </w:tc>
        <w:tc>
          <w:tcPr>
            <w:tcW w:w="2174" w:type="dxa"/>
          </w:tcPr>
          <w:p w14:paraId="11AEA97D"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
        </w:tc>
      </w:tr>
      <w:tr w:rsidR="00F90AD9" w14:paraId="557BC3B5" w14:textId="77777777" w:rsidTr="000252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0D22EE23" w14:textId="77777777" w:rsidR="00F90AD9" w:rsidRPr="00903F68" w:rsidRDefault="00F90AD9" w:rsidP="0002524F">
            <w:pPr>
              <w:jc w:val="left"/>
              <w:rPr>
                <w:b w:val="0"/>
                <w:sz w:val="22"/>
                <w:szCs w:val="22"/>
              </w:rPr>
            </w:pPr>
            <w:r>
              <w:rPr>
                <w:b w:val="0"/>
                <w:sz w:val="22"/>
                <w:szCs w:val="22"/>
              </w:rPr>
              <w:t>MA(2</w:t>
            </w:r>
            <w:r w:rsidRPr="00903F68">
              <w:rPr>
                <w:b w:val="0"/>
                <w:sz w:val="22"/>
                <w:szCs w:val="22"/>
              </w:rPr>
              <w:t>)</w:t>
            </w:r>
          </w:p>
        </w:tc>
        <w:tc>
          <w:tcPr>
            <w:tcW w:w="2174" w:type="dxa"/>
          </w:tcPr>
          <w:p w14:paraId="10167C93"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0.998</w:t>
            </w:r>
          </w:p>
        </w:tc>
        <w:tc>
          <w:tcPr>
            <w:tcW w:w="2174" w:type="dxa"/>
          </w:tcPr>
          <w:p w14:paraId="49B5CE4C"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1.014</w:t>
            </w:r>
          </w:p>
        </w:tc>
        <w:tc>
          <w:tcPr>
            <w:tcW w:w="2174" w:type="dxa"/>
          </w:tcPr>
          <w:p w14:paraId="5EB80A9B" w14:textId="77777777" w:rsidR="00F90AD9" w:rsidRDefault="00F90AD9" w:rsidP="0002524F">
            <w:pPr>
              <w:jc w:val="left"/>
              <w:cnfStyle w:val="000000010000" w:firstRow="0" w:lastRow="0" w:firstColumn="0" w:lastColumn="0" w:oddVBand="0" w:evenVBand="0" w:oddHBand="0" w:evenHBand="1" w:firstRowFirstColumn="0" w:firstRowLastColumn="0" w:lastRowFirstColumn="0" w:lastRowLastColumn="0"/>
              <w:rPr>
                <w:sz w:val="22"/>
                <w:szCs w:val="22"/>
              </w:rPr>
            </w:pPr>
          </w:p>
        </w:tc>
      </w:tr>
      <w:tr w:rsidR="00F90AD9" w14:paraId="7EC8CC3F" w14:textId="77777777" w:rsidTr="000252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Pr>
          <w:p w14:paraId="080FEA13" w14:textId="77777777" w:rsidR="00F90AD9" w:rsidRDefault="00F90AD9" w:rsidP="0002524F">
            <w:pPr>
              <w:jc w:val="left"/>
              <w:rPr>
                <w:sz w:val="22"/>
                <w:szCs w:val="22"/>
              </w:rPr>
            </w:pPr>
            <w:r>
              <w:rPr>
                <w:sz w:val="22"/>
                <w:szCs w:val="22"/>
              </w:rPr>
              <w:t>C</w:t>
            </w:r>
          </w:p>
        </w:tc>
        <w:tc>
          <w:tcPr>
            <w:tcW w:w="2174" w:type="dxa"/>
          </w:tcPr>
          <w:p w14:paraId="65937CEB"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13.318</w:t>
            </w:r>
          </w:p>
        </w:tc>
        <w:tc>
          <w:tcPr>
            <w:tcW w:w="2174" w:type="dxa"/>
          </w:tcPr>
          <w:p w14:paraId="662C2F0B"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0.708</w:t>
            </w:r>
          </w:p>
        </w:tc>
        <w:tc>
          <w:tcPr>
            <w:tcW w:w="2174" w:type="dxa"/>
          </w:tcPr>
          <w:p w14:paraId="48159382" w14:textId="77777777" w:rsidR="00F90AD9" w:rsidRDefault="00F90AD9" w:rsidP="0002524F">
            <w:pPr>
              <w:jc w:val="left"/>
              <w:cnfStyle w:val="000000100000" w:firstRow="0" w:lastRow="0" w:firstColumn="0" w:lastColumn="0" w:oddVBand="0" w:evenVBand="0" w:oddHBand="1" w:evenHBand="0" w:firstRowFirstColumn="0" w:firstRowLastColumn="0" w:lastRowFirstColumn="0" w:lastRowLastColumn="0"/>
              <w:rPr>
                <w:sz w:val="22"/>
                <w:szCs w:val="22"/>
              </w:rPr>
            </w:pPr>
          </w:p>
        </w:tc>
      </w:tr>
    </w:tbl>
    <w:tbl>
      <w:tblPr>
        <w:tblStyle w:val="af1"/>
        <w:tblW w:w="0" w:type="auto"/>
        <w:tblLook w:val="04A0" w:firstRow="1" w:lastRow="0" w:firstColumn="1" w:lastColumn="0" w:noHBand="0" w:noVBand="1"/>
      </w:tblPr>
      <w:tblGrid>
        <w:gridCol w:w="2174"/>
        <w:gridCol w:w="2174"/>
        <w:gridCol w:w="2174"/>
        <w:gridCol w:w="2174"/>
      </w:tblGrid>
      <w:tr w:rsidR="00F90AD9" w14:paraId="609AFE3E" w14:textId="77777777" w:rsidTr="0002524F">
        <w:tc>
          <w:tcPr>
            <w:tcW w:w="2174" w:type="dxa"/>
          </w:tcPr>
          <w:p w14:paraId="78508DE9" w14:textId="77777777" w:rsidR="00F90AD9" w:rsidRDefault="00F90AD9" w:rsidP="0002524F">
            <w:pPr>
              <w:jc w:val="left"/>
              <w:rPr>
                <w:sz w:val="22"/>
              </w:rPr>
            </w:pPr>
          </w:p>
        </w:tc>
        <w:tc>
          <w:tcPr>
            <w:tcW w:w="2174" w:type="dxa"/>
          </w:tcPr>
          <w:p w14:paraId="45611BC1" w14:textId="77777777" w:rsidR="00F90AD9" w:rsidRDefault="00F90AD9" w:rsidP="0002524F">
            <w:pPr>
              <w:jc w:val="left"/>
              <w:rPr>
                <w:sz w:val="22"/>
              </w:rPr>
            </w:pPr>
          </w:p>
        </w:tc>
        <w:tc>
          <w:tcPr>
            <w:tcW w:w="2174" w:type="dxa"/>
          </w:tcPr>
          <w:p w14:paraId="39729B8C" w14:textId="77777777" w:rsidR="00F90AD9" w:rsidRDefault="00F90AD9" w:rsidP="0002524F">
            <w:pPr>
              <w:jc w:val="left"/>
              <w:rPr>
                <w:sz w:val="22"/>
              </w:rPr>
            </w:pPr>
            <w:proofErr w:type="spellStart"/>
            <w:r>
              <w:rPr>
                <w:rFonts w:hint="eastAsia"/>
                <w:sz w:val="22"/>
              </w:rPr>
              <w:t>Adj</w:t>
            </w:r>
            <w:proofErr w:type="spellEnd"/>
            <w:r>
              <w:rPr>
                <w:rFonts w:hint="eastAsia"/>
                <w:sz w:val="22"/>
              </w:rPr>
              <w:t xml:space="preserve"> R-</w:t>
            </w:r>
            <w:r>
              <w:rPr>
                <w:sz w:val="22"/>
              </w:rPr>
              <w:t>squared</w:t>
            </w:r>
          </w:p>
          <w:p w14:paraId="7CC61AEE" w14:textId="77777777" w:rsidR="00F90AD9" w:rsidRDefault="00F90AD9" w:rsidP="0002524F">
            <w:pPr>
              <w:jc w:val="left"/>
              <w:rPr>
                <w:sz w:val="22"/>
              </w:rPr>
            </w:pPr>
            <w:r>
              <w:rPr>
                <w:sz w:val="22"/>
              </w:rPr>
              <w:t>0.964</w:t>
            </w:r>
          </w:p>
        </w:tc>
        <w:tc>
          <w:tcPr>
            <w:tcW w:w="2174" w:type="dxa"/>
          </w:tcPr>
          <w:p w14:paraId="57040AD4" w14:textId="77777777" w:rsidR="00F90AD9" w:rsidRDefault="00F90AD9" w:rsidP="0002524F">
            <w:pPr>
              <w:jc w:val="left"/>
              <w:rPr>
                <w:sz w:val="22"/>
              </w:rPr>
            </w:pPr>
            <w:r>
              <w:rPr>
                <w:sz w:val="22"/>
              </w:rPr>
              <w:t>AIC</w:t>
            </w:r>
          </w:p>
          <w:p w14:paraId="51205649" w14:textId="77777777" w:rsidR="00F90AD9" w:rsidRDefault="00F90AD9" w:rsidP="0002524F">
            <w:pPr>
              <w:jc w:val="left"/>
              <w:rPr>
                <w:sz w:val="22"/>
              </w:rPr>
            </w:pPr>
            <w:r>
              <w:rPr>
                <w:sz w:val="22"/>
              </w:rPr>
              <w:t>-19.359</w:t>
            </w:r>
          </w:p>
        </w:tc>
      </w:tr>
    </w:tbl>
    <w:p w14:paraId="39F192FE" w14:textId="733645AB" w:rsidR="00F90AD9" w:rsidRDefault="00F90AD9" w:rsidP="00330136">
      <w:pPr>
        <w:jc w:val="right"/>
        <w:rPr>
          <w:sz w:val="22"/>
        </w:rPr>
      </w:pPr>
      <w:r>
        <w:rPr>
          <w:sz w:val="22"/>
        </w:rPr>
        <w:t>* 1%</w:t>
      </w:r>
      <w:r>
        <w:rPr>
          <w:rFonts w:hint="eastAsia"/>
          <w:sz w:val="22"/>
        </w:rPr>
        <w:t>有意は</w:t>
      </w:r>
      <w:r>
        <w:rPr>
          <w:sz w:val="22"/>
        </w:rPr>
        <w:t>***</w:t>
      </w:r>
      <w:r>
        <w:rPr>
          <w:rFonts w:hint="eastAsia"/>
          <w:sz w:val="22"/>
        </w:rPr>
        <w:t>、</w:t>
      </w:r>
      <w:r>
        <w:rPr>
          <w:sz w:val="22"/>
        </w:rPr>
        <w:t>5%</w:t>
      </w:r>
      <w:r>
        <w:rPr>
          <w:rFonts w:hint="eastAsia"/>
          <w:sz w:val="22"/>
        </w:rPr>
        <w:t>有意は</w:t>
      </w:r>
      <w:r>
        <w:rPr>
          <w:sz w:val="22"/>
        </w:rPr>
        <w:t>**</w:t>
      </w:r>
      <w:r>
        <w:rPr>
          <w:rFonts w:hint="eastAsia"/>
          <w:sz w:val="22"/>
        </w:rPr>
        <w:t>、</w:t>
      </w:r>
      <w:r>
        <w:rPr>
          <w:sz w:val="22"/>
        </w:rPr>
        <w:t>10%</w:t>
      </w:r>
      <w:r>
        <w:rPr>
          <w:rFonts w:hint="eastAsia"/>
          <w:sz w:val="22"/>
        </w:rPr>
        <w:t>有意は</w:t>
      </w:r>
      <w:r>
        <w:rPr>
          <w:sz w:val="22"/>
        </w:rPr>
        <w:t>*</w:t>
      </w:r>
      <w:r>
        <w:rPr>
          <w:rFonts w:hint="eastAsia"/>
          <w:sz w:val="22"/>
        </w:rPr>
        <w:t>で表す</w:t>
      </w:r>
    </w:p>
    <w:p w14:paraId="03A0F9D0" w14:textId="77777777" w:rsidR="00F90AD9" w:rsidRDefault="008950C7" w:rsidP="00E96D25">
      <w:pPr>
        <w:pStyle w:val="3"/>
      </w:pPr>
      <w:bookmarkStart w:id="20" w:name="_Toc221603829"/>
      <w:r>
        <w:rPr>
          <w:rFonts w:hint="eastAsia"/>
        </w:rPr>
        <w:t>5</w:t>
      </w:r>
      <w:r>
        <w:rPr>
          <w:rFonts w:hint="eastAsia"/>
        </w:rPr>
        <w:t>－</w:t>
      </w:r>
      <w:r>
        <w:rPr>
          <w:rFonts w:hint="eastAsia"/>
        </w:rPr>
        <w:t>1</w:t>
      </w:r>
      <w:r>
        <w:rPr>
          <w:rFonts w:hint="eastAsia"/>
        </w:rPr>
        <w:t>－</w:t>
      </w:r>
      <w:r>
        <w:rPr>
          <w:rFonts w:hint="eastAsia"/>
        </w:rPr>
        <w:t>3</w:t>
      </w:r>
      <w:r w:rsidR="00F90AD9">
        <w:rPr>
          <w:rFonts w:hint="eastAsia"/>
        </w:rPr>
        <w:t xml:space="preserve">　考察</w:t>
      </w:r>
      <w:bookmarkEnd w:id="20"/>
    </w:p>
    <w:p w14:paraId="72F81055" w14:textId="181D1F71" w:rsidR="008950C7" w:rsidRDefault="00F90AD9" w:rsidP="00DF3841">
      <w:pPr>
        <w:rPr>
          <w:sz w:val="22"/>
        </w:rPr>
      </w:pPr>
      <w:r>
        <w:rPr>
          <w:rFonts w:hint="eastAsia"/>
          <w:sz w:val="22"/>
        </w:rPr>
        <w:t xml:space="preserve">　消費者金融全体の金利弾力性は有意に、そして理論とも整合的に推計することができた。判決以前の消費者金融市場では、金利の１％上昇は貸出残高を</w:t>
      </w:r>
      <w:r>
        <w:rPr>
          <w:sz w:val="22"/>
        </w:rPr>
        <w:t>2.391%</w:t>
      </w:r>
      <w:r>
        <w:rPr>
          <w:rFonts w:hint="eastAsia"/>
          <w:sz w:val="22"/>
        </w:rPr>
        <w:t>低下させることが分かった。この値を用いて、次章の余剰分析を行う。</w:t>
      </w:r>
    </w:p>
    <w:p w14:paraId="38960D68" w14:textId="77777777" w:rsidR="00092760" w:rsidRPr="00E96D25" w:rsidRDefault="00092760" w:rsidP="00DF3841">
      <w:pPr>
        <w:rPr>
          <w:sz w:val="22"/>
        </w:rPr>
      </w:pPr>
    </w:p>
    <w:p w14:paraId="31977794" w14:textId="77777777" w:rsidR="008950C7" w:rsidRDefault="008950C7" w:rsidP="00E96D25">
      <w:pPr>
        <w:pStyle w:val="3"/>
      </w:pPr>
      <w:bookmarkStart w:id="21" w:name="_Toc221603830"/>
      <w:r>
        <w:rPr>
          <w:rFonts w:hint="eastAsia"/>
        </w:rPr>
        <w:t>5</w:t>
      </w:r>
      <w:r>
        <w:rPr>
          <w:rFonts w:hint="eastAsia"/>
        </w:rPr>
        <w:t>－</w:t>
      </w:r>
      <w:r>
        <w:rPr>
          <w:rFonts w:hint="eastAsia"/>
        </w:rPr>
        <w:t>2</w:t>
      </w:r>
      <w:r>
        <w:rPr>
          <w:rFonts w:hint="eastAsia"/>
        </w:rPr>
        <w:t xml:space="preserve">　消費者余剰分析</w:t>
      </w:r>
      <w:bookmarkEnd w:id="21"/>
    </w:p>
    <w:p w14:paraId="1AD3356B" w14:textId="4855E17A" w:rsidR="008950C7" w:rsidRDefault="008950C7" w:rsidP="00DF3841">
      <w:r>
        <w:rPr>
          <w:rFonts w:hint="eastAsia"/>
        </w:rPr>
        <w:t xml:space="preserve">　前節の結果を用いた需要曲線により</w:t>
      </w:r>
      <w:r w:rsidR="00651C0F">
        <w:rPr>
          <w:rFonts w:hint="eastAsia"/>
        </w:rPr>
        <w:t>2006</w:t>
      </w:r>
      <w:r w:rsidR="00651C0F">
        <w:rPr>
          <w:rFonts w:hint="eastAsia"/>
        </w:rPr>
        <w:t>年から</w:t>
      </w:r>
      <w:r w:rsidR="00651C0F">
        <w:rPr>
          <w:rFonts w:hint="eastAsia"/>
        </w:rPr>
        <w:t>2010</w:t>
      </w:r>
      <w:r w:rsidR="00651C0F">
        <w:rPr>
          <w:rFonts w:hint="eastAsia"/>
        </w:rPr>
        <w:t>年までの消費者金融市場における消費者余剰の変化は以下のようになった。</w:t>
      </w:r>
      <w:r>
        <w:rPr>
          <w:rFonts w:hint="eastAsia"/>
        </w:rPr>
        <w:t>。</w:t>
      </w:r>
    </w:p>
    <w:p w14:paraId="33B51CBE" w14:textId="6630206E" w:rsidR="004D57E5" w:rsidRDefault="00901E17" w:rsidP="00330136">
      <w:pPr>
        <w:jc w:val="center"/>
      </w:pPr>
      <w:r>
        <w:rPr>
          <w:rFonts w:hint="eastAsia"/>
        </w:rPr>
        <w:lastRenderedPageBreak/>
        <w:t>表</w:t>
      </w:r>
      <w:r w:rsidR="00651C0F">
        <w:rPr>
          <w:rFonts w:hint="eastAsia"/>
        </w:rPr>
        <w:t>5</w:t>
      </w:r>
      <w:r w:rsidR="00651C0F">
        <w:rPr>
          <w:rFonts w:hint="eastAsia"/>
        </w:rPr>
        <w:t>−</w:t>
      </w:r>
      <w:r w:rsidR="00651C0F">
        <w:rPr>
          <w:rFonts w:hint="eastAsia"/>
        </w:rPr>
        <w:t>2</w:t>
      </w:r>
      <w:r w:rsidR="009D0310">
        <w:rPr>
          <w:rFonts w:hint="eastAsia"/>
        </w:rPr>
        <w:t xml:space="preserve">　</w:t>
      </w:r>
      <w:r w:rsidR="00651C0F">
        <w:t xml:space="preserve"> </w:t>
      </w:r>
    </w:p>
    <w:tbl>
      <w:tblPr>
        <w:tblW w:w="8529" w:type="dxa"/>
        <w:tblInd w:w="144" w:type="dxa"/>
        <w:tblCellMar>
          <w:left w:w="0" w:type="dxa"/>
          <w:right w:w="0" w:type="dxa"/>
        </w:tblCellMar>
        <w:tblLook w:val="0420" w:firstRow="1" w:lastRow="0" w:firstColumn="0" w:lastColumn="0" w:noHBand="0" w:noVBand="1"/>
      </w:tblPr>
      <w:tblGrid>
        <w:gridCol w:w="780"/>
        <w:gridCol w:w="1549"/>
        <w:gridCol w:w="1550"/>
        <w:gridCol w:w="1550"/>
        <w:gridCol w:w="1550"/>
        <w:gridCol w:w="1550"/>
      </w:tblGrid>
      <w:tr w:rsidR="00FF4A0D" w:rsidRPr="0039138E" w14:paraId="3A1F737D" w14:textId="77777777" w:rsidTr="00194435">
        <w:trPr>
          <w:trHeight w:val="307"/>
        </w:trPr>
        <w:tc>
          <w:tcPr>
            <w:tcW w:w="7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61C7AD1" w14:textId="77777777" w:rsidR="006C16D3" w:rsidRPr="00FF4A0D" w:rsidRDefault="0039138E" w:rsidP="0039138E">
            <w:r w:rsidRPr="00FF4A0D">
              <w:rPr>
                <w:bCs/>
              </w:rPr>
              <w:t>年度</w:t>
            </w:r>
          </w:p>
        </w:tc>
        <w:tc>
          <w:tcPr>
            <w:tcW w:w="154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DA07CF1" w14:textId="77777777" w:rsidR="006C16D3" w:rsidRPr="00FF4A0D" w:rsidRDefault="0039138E" w:rsidP="0039138E">
            <w:r w:rsidRPr="00FF4A0D">
              <w:rPr>
                <w:bCs/>
              </w:rPr>
              <w:t>2006</w:t>
            </w:r>
            <w:r w:rsidRPr="00FF4A0D">
              <w:rPr>
                <w:bCs/>
              </w:rPr>
              <w:t>年</w:t>
            </w:r>
          </w:p>
        </w:tc>
        <w:tc>
          <w:tcPr>
            <w:tcW w:w="15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0E5FB4D" w14:textId="77777777" w:rsidR="006C16D3" w:rsidRPr="00FF4A0D" w:rsidRDefault="0039138E" w:rsidP="0039138E">
            <w:r w:rsidRPr="00FF4A0D">
              <w:rPr>
                <w:bCs/>
              </w:rPr>
              <w:t>2007</w:t>
            </w:r>
            <w:r w:rsidRPr="00FF4A0D">
              <w:rPr>
                <w:bCs/>
              </w:rPr>
              <w:t>年</w:t>
            </w:r>
          </w:p>
        </w:tc>
        <w:tc>
          <w:tcPr>
            <w:tcW w:w="15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1E672F8" w14:textId="77777777" w:rsidR="006C16D3" w:rsidRPr="00FF4A0D" w:rsidRDefault="0039138E" w:rsidP="0039138E">
            <w:r w:rsidRPr="00FF4A0D">
              <w:rPr>
                <w:bCs/>
              </w:rPr>
              <w:t>2008</w:t>
            </w:r>
            <w:r w:rsidRPr="00FF4A0D">
              <w:rPr>
                <w:bCs/>
              </w:rPr>
              <w:t>年</w:t>
            </w:r>
          </w:p>
        </w:tc>
        <w:tc>
          <w:tcPr>
            <w:tcW w:w="15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0D55E32" w14:textId="77777777" w:rsidR="006C16D3" w:rsidRPr="00FF4A0D" w:rsidRDefault="0039138E" w:rsidP="0039138E">
            <w:r w:rsidRPr="00FF4A0D">
              <w:rPr>
                <w:bCs/>
              </w:rPr>
              <w:t>2009</w:t>
            </w:r>
            <w:r w:rsidRPr="00FF4A0D">
              <w:rPr>
                <w:bCs/>
              </w:rPr>
              <w:t>年</w:t>
            </w:r>
          </w:p>
        </w:tc>
        <w:tc>
          <w:tcPr>
            <w:tcW w:w="15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48B96A8" w14:textId="77777777" w:rsidR="006C16D3" w:rsidRPr="00FF4A0D" w:rsidRDefault="0039138E" w:rsidP="0039138E">
            <w:r w:rsidRPr="00FF4A0D">
              <w:rPr>
                <w:bCs/>
              </w:rPr>
              <w:t>2010</w:t>
            </w:r>
            <w:r w:rsidRPr="00FF4A0D">
              <w:rPr>
                <w:bCs/>
              </w:rPr>
              <w:t>年</w:t>
            </w:r>
          </w:p>
        </w:tc>
      </w:tr>
      <w:tr w:rsidR="00FF4A0D" w:rsidRPr="0039138E" w14:paraId="78D22E89" w14:textId="77777777" w:rsidTr="00194435">
        <w:trPr>
          <w:trHeight w:val="303"/>
        </w:trPr>
        <w:tc>
          <w:tcPr>
            <w:tcW w:w="7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39E4EAF" w14:textId="77777777" w:rsidR="006C16D3" w:rsidRPr="00FF4A0D" w:rsidRDefault="0039138E" w:rsidP="0039138E">
            <w:r w:rsidRPr="00FF4A0D">
              <w:t>▲CS</w:t>
            </w:r>
          </w:p>
        </w:tc>
        <w:tc>
          <w:tcPr>
            <w:tcW w:w="154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B3D8C54" w14:textId="77777777" w:rsidR="006C16D3" w:rsidRPr="00FF4A0D" w:rsidRDefault="0039138E" w:rsidP="0039138E">
            <w:r w:rsidRPr="00FF4A0D">
              <w:t>340</w:t>
            </w:r>
            <w:r w:rsidRPr="00FF4A0D">
              <w:t>億</w:t>
            </w:r>
          </w:p>
        </w:tc>
        <w:tc>
          <w:tcPr>
            <w:tcW w:w="15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33D5CEB" w14:textId="77777777" w:rsidR="006C16D3" w:rsidRPr="00FF4A0D" w:rsidRDefault="0039138E" w:rsidP="0039138E">
            <w:r w:rsidRPr="00FF4A0D">
              <w:t>1300</w:t>
            </w:r>
            <w:r w:rsidRPr="00FF4A0D">
              <w:t>億</w:t>
            </w:r>
          </w:p>
        </w:tc>
        <w:tc>
          <w:tcPr>
            <w:tcW w:w="15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225427" w14:textId="77777777" w:rsidR="006C16D3" w:rsidRPr="00FF4A0D" w:rsidRDefault="0039138E" w:rsidP="0039138E">
            <w:r w:rsidRPr="00FF4A0D">
              <w:t>1500</w:t>
            </w:r>
            <w:r w:rsidRPr="00FF4A0D">
              <w:t>億</w:t>
            </w:r>
          </w:p>
        </w:tc>
        <w:tc>
          <w:tcPr>
            <w:tcW w:w="15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4031929" w14:textId="77777777" w:rsidR="006C16D3" w:rsidRPr="00FF4A0D" w:rsidRDefault="0039138E" w:rsidP="0039138E">
            <w:r w:rsidRPr="00FF4A0D">
              <w:t>1100</w:t>
            </w:r>
            <w:r w:rsidRPr="00FF4A0D">
              <w:t>億</w:t>
            </w:r>
          </w:p>
        </w:tc>
        <w:tc>
          <w:tcPr>
            <w:tcW w:w="15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E90E31" w14:textId="77777777" w:rsidR="006C16D3" w:rsidRPr="00FF4A0D" w:rsidRDefault="0039138E" w:rsidP="0039138E">
            <w:r w:rsidRPr="00FF4A0D">
              <w:t>550</w:t>
            </w:r>
            <w:r w:rsidRPr="00FF4A0D">
              <w:t>億</w:t>
            </w:r>
          </w:p>
        </w:tc>
      </w:tr>
    </w:tbl>
    <w:p w14:paraId="32503B93" w14:textId="77777777" w:rsidR="004D57E5" w:rsidRDefault="004D57E5" w:rsidP="00FF4A0D"/>
    <w:p w14:paraId="4B0A4F58" w14:textId="77777777" w:rsidR="00FF4A0D" w:rsidRPr="00FF4A0D" w:rsidRDefault="00543FE5" w:rsidP="009D0310">
      <w:pPr>
        <w:ind w:firstLineChars="100" w:firstLine="210"/>
      </w:pPr>
      <w:r>
        <w:rPr>
          <w:rFonts w:hint="eastAsia"/>
        </w:rPr>
        <w:t>すべ</w:t>
      </w:r>
      <w:r w:rsidR="00FF4A0D">
        <w:rPr>
          <w:rFonts w:hint="eastAsia"/>
        </w:rPr>
        <w:t>ての</w:t>
      </w:r>
      <w:r w:rsidR="00FF4A0D" w:rsidRPr="00FF4A0D">
        <w:rPr>
          <w:rFonts w:hint="eastAsia"/>
        </w:rPr>
        <w:t>消費者余剰</w:t>
      </w:r>
      <w:r w:rsidR="00FF4A0D">
        <w:rPr>
          <w:rFonts w:hint="eastAsia"/>
        </w:rPr>
        <w:t>増加の理由は</w:t>
      </w:r>
      <w:r w:rsidR="00FF4A0D" w:rsidRPr="00FF4A0D">
        <w:rPr>
          <w:rFonts w:hint="eastAsia"/>
        </w:rPr>
        <w:t>、需要量の減少はマイナスの効果だった一方で、価格（≒金利）の下落による便益を残りの需要者が享受</w:t>
      </w:r>
      <w:r w:rsidR="00FF4A0D">
        <w:rPr>
          <w:rFonts w:hint="eastAsia"/>
        </w:rPr>
        <w:t>し、そのプラス効果がマイナス効果を上回ったからである。</w:t>
      </w:r>
      <w:r w:rsidR="00FF4A0D" w:rsidRPr="00FF4A0D">
        <w:t>2007</w:t>
      </w:r>
      <w:r w:rsidR="00FF4A0D" w:rsidRPr="00FF4A0D">
        <w:rPr>
          <w:rFonts w:hint="eastAsia"/>
        </w:rPr>
        <w:t>年及び</w:t>
      </w:r>
      <w:r w:rsidR="00FF4A0D" w:rsidRPr="00FF4A0D">
        <w:t>2008</w:t>
      </w:r>
      <w:r w:rsidR="00FF4A0D" w:rsidRPr="00FF4A0D">
        <w:rPr>
          <w:rFonts w:hint="eastAsia"/>
        </w:rPr>
        <w:t>年の消費者余剰変化分を基としたときに、</w:t>
      </w:r>
      <w:r w:rsidR="00FF4A0D" w:rsidRPr="00FF4A0D">
        <w:t>2006</w:t>
      </w:r>
      <w:r w:rsidR="00FF4A0D" w:rsidRPr="00FF4A0D">
        <w:rPr>
          <w:rFonts w:hint="eastAsia"/>
        </w:rPr>
        <w:t>年のそれが少ない理由は価格（≒金利）の差が小さいことにある。</w:t>
      </w:r>
      <w:r w:rsidR="00FF4A0D" w:rsidRPr="00FF4A0D">
        <w:t>2009</w:t>
      </w:r>
      <w:r w:rsidR="00FF4A0D" w:rsidRPr="00FF4A0D">
        <w:rPr>
          <w:rFonts w:hint="eastAsia"/>
        </w:rPr>
        <w:t>年及び</w:t>
      </w:r>
      <w:r w:rsidR="00FF4A0D" w:rsidRPr="00FF4A0D">
        <w:t>2010</w:t>
      </w:r>
      <w:r w:rsidR="00FF4A0D" w:rsidRPr="00FF4A0D">
        <w:rPr>
          <w:rFonts w:hint="eastAsia"/>
        </w:rPr>
        <w:t>年のそれが少ない理由は、需要者が大幅に減ったことにある。</w:t>
      </w:r>
    </w:p>
    <w:p w14:paraId="6592ADBF" w14:textId="77777777" w:rsidR="00543FE5" w:rsidRDefault="00543FE5" w:rsidP="00335491"/>
    <w:p w14:paraId="47205CDE" w14:textId="77777777" w:rsidR="00543FE5" w:rsidRDefault="00543FE5" w:rsidP="00E96D25">
      <w:pPr>
        <w:pStyle w:val="2"/>
      </w:pPr>
      <w:bookmarkStart w:id="22" w:name="_Toc221603831"/>
      <w:r>
        <w:rPr>
          <w:rFonts w:hint="eastAsia"/>
        </w:rPr>
        <w:t>6</w:t>
      </w:r>
      <w:r>
        <w:rPr>
          <w:rFonts w:hint="eastAsia"/>
        </w:rPr>
        <w:t>章　生産者余剰分析</w:t>
      </w:r>
      <w:bookmarkEnd w:id="22"/>
    </w:p>
    <w:p w14:paraId="3F977A61" w14:textId="77777777" w:rsidR="00DF3841" w:rsidRDefault="00543FE5" w:rsidP="00335491">
      <w:r>
        <w:rPr>
          <w:rFonts w:hint="eastAsia"/>
        </w:rPr>
        <w:t xml:space="preserve">　この章</w:t>
      </w:r>
      <w:r w:rsidR="00FB0FAB">
        <w:rPr>
          <w:rFonts w:hint="eastAsia"/>
        </w:rPr>
        <w:t>では生産者余剰を求める。</w:t>
      </w:r>
      <w:r w:rsidR="006623C5">
        <w:rPr>
          <w:rFonts w:hint="eastAsia"/>
        </w:rPr>
        <w:t>標準的な生産者余剰の求め方は供給曲線、すなわち限界費用曲線の導出が求められるが、現実的にその導出は難しいので、本稿では（収入－総可変費用）から生産者余剰を求めるアプローチを採用する。収入については消費者余剰と同様の枠組みを使って容易に求まる。一方の総可変費用については有価証券報告書より</w:t>
      </w:r>
      <w:r w:rsidR="002E65E3">
        <w:rPr>
          <w:rFonts w:hint="eastAsia"/>
        </w:rPr>
        <w:t>可変費用</w:t>
      </w:r>
      <w:r w:rsidR="002E65E3">
        <w:rPr>
          <w:rStyle w:val="af"/>
        </w:rPr>
        <w:footnoteReference w:id="9"/>
      </w:r>
      <w:r w:rsidR="002E65E3">
        <w:rPr>
          <w:rFonts w:hint="eastAsia"/>
        </w:rPr>
        <w:t>にあたる費用を抽出した。</w:t>
      </w:r>
      <w:r w:rsidR="00CD3D5C">
        <w:rPr>
          <w:rFonts w:hint="eastAsia"/>
        </w:rPr>
        <w:t>この収入と総可変費用より生産者余剰を求める。</w:t>
      </w:r>
    </w:p>
    <w:p w14:paraId="4C2EA386" w14:textId="6DFD7F6F" w:rsidR="00194435" w:rsidRDefault="00335491" w:rsidP="00330136">
      <w:r>
        <w:rPr>
          <w:rFonts w:hint="eastAsia"/>
        </w:rPr>
        <w:t xml:space="preserve">　上記述べた総可変費用を求めるべく、本稿では</w:t>
      </w:r>
      <w:r>
        <w:rPr>
          <w:rFonts w:hint="eastAsia"/>
        </w:rPr>
        <w:t>2005</w:t>
      </w:r>
      <w:r>
        <w:rPr>
          <w:rFonts w:hint="eastAsia"/>
        </w:rPr>
        <w:t>年から</w:t>
      </w:r>
      <w:r>
        <w:rPr>
          <w:rFonts w:hint="eastAsia"/>
        </w:rPr>
        <w:t>2010</w:t>
      </w:r>
      <w:r>
        <w:rPr>
          <w:rFonts w:hint="eastAsia"/>
        </w:rPr>
        <w:t>年の大手</w:t>
      </w:r>
      <w:r>
        <w:rPr>
          <w:rFonts w:hint="eastAsia"/>
        </w:rPr>
        <w:t>5</w:t>
      </w:r>
      <w:r>
        <w:rPr>
          <w:rFonts w:hint="eastAsia"/>
        </w:rPr>
        <w:t>社の消費者</w:t>
      </w:r>
      <w:r w:rsidR="00194435">
        <w:rPr>
          <w:rFonts w:hint="eastAsia"/>
        </w:rPr>
        <w:t>金融会社</w:t>
      </w:r>
      <w:r w:rsidR="00194435">
        <w:rPr>
          <w:rStyle w:val="af"/>
        </w:rPr>
        <w:footnoteReference w:id="10"/>
      </w:r>
      <w:r w:rsidR="00194435">
        <w:rPr>
          <w:rFonts w:hint="eastAsia"/>
        </w:rPr>
        <w:t>の有価証券報告書を調査した。</w:t>
      </w:r>
      <w:r w:rsidR="00356339">
        <w:rPr>
          <w:rFonts w:hint="eastAsia"/>
        </w:rPr>
        <w:t>これより推計された</w:t>
      </w:r>
      <w:r w:rsidR="00651C0F">
        <w:rPr>
          <w:rFonts w:hint="eastAsia"/>
        </w:rPr>
        <w:t>2006</w:t>
      </w:r>
      <w:r w:rsidR="00651C0F">
        <w:rPr>
          <w:rFonts w:hint="eastAsia"/>
        </w:rPr>
        <w:t>年から</w:t>
      </w:r>
      <w:r w:rsidR="00651C0F">
        <w:rPr>
          <w:rFonts w:hint="eastAsia"/>
        </w:rPr>
        <w:t>2010</w:t>
      </w:r>
      <w:r w:rsidR="00651C0F">
        <w:rPr>
          <w:rFonts w:hint="eastAsia"/>
        </w:rPr>
        <w:t>年までの消費者金融市場における生産者余剰の変化は</w:t>
      </w:r>
      <w:r w:rsidR="00356339">
        <w:rPr>
          <w:rFonts w:hint="eastAsia"/>
        </w:rPr>
        <w:t>以下</w:t>
      </w:r>
      <w:r w:rsidR="00651C0F">
        <w:rPr>
          <w:rFonts w:hint="eastAsia"/>
        </w:rPr>
        <w:t>の通り</w:t>
      </w:r>
      <w:r w:rsidR="00356339">
        <w:rPr>
          <w:rFonts w:hint="eastAsia"/>
        </w:rPr>
        <w:t>。</w:t>
      </w:r>
    </w:p>
    <w:p w14:paraId="2308060D" w14:textId="77777777" w:rsidR="00330136" w:rsidRDefault="00330136" w:rsidP="00330136"/>
    <w:p w14:paraId="34443C73" w14:textId="038960FE" w:rsidR="00194435" w:rsidRDefault="00651C0F" w:rsidP="00651C0F">
      <w:pPr>
        <w:jc w:val="center"/>
      </w:pPr>
      <w:r>
        <w:rPr>
          <w:rFonts w:hint="eastAsia"/>
        </w:rPr>
        <w:t>表</w:t>
      </w:r>
      <w:r>
        <w:rPr>
          <w:rFonts w:hint="eastAsia"/>
        </w:rPr>
        <w:t>6</w:t>
      </w:r>
      <w:r>
        <w:rPr>
          <w:rFonts w:hint="eastAsia"/>
        </w:rPr>
        <w:t>−</w:t>
      </w:r>
      <w:r>
        <w:rPr>
          <w:rFonts w:hint="eastAsia"/>
        </w:rPr>
        <w:t>1</w:t>
      </w:r>
    </w:p>
    <w:tbl>
      <w:tblPr>
        <w:tblpPr w:leftFromText="142" w:rightFromText="142" w:vertAnchor="text" w:horzAnchor="margin" w:tblpY="147"/>
        <w:tblW w:w="8729" w:type="dxa"/>
        <w:tblCellMar>
          <w:left w:w="0" w:type="dxa"/>
          <w:right w:w="0" w:type="dxa"/>
        </w:tblCellMar>
        <w:tblLook w:val="0420" w:firstRow="1" w:lastRow="0" w:firstColumn="0" w:lastColumn="0" w:noHBand="0" w:noVBand="1"/>
      </w:tblPr>
      <w:tblGrid>
        <w:gridCol w:w="770"/>
        <w:gridCol w:w="1593"/>
        <w:gridCol w:w="1594"/>
        <w:gridCol w:w="1594"/>
        <w:gridCol w:w="1390"/>
        <w:gridCol w:w="1788"/>
      </w:tblGrid>
      <w:tr w:rsidR="003D57AF" w:rsidRPr="00194435" w14:paraId="7357FEC8" w14:textId="77777777" w:rsidTr="003D57AF">
        <w:trPr>
          <w:trHeight w:val="335"/>
        </w:trPr>
        <w:tc>
          <w:tcPr>
            <w:tcW w:w="7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8CFC96A" w14:textId="77777777" w:rsidR="003D57AF" w:rsidRPr="00194435" w:rsidRDefault="003D57AF" w:rsidP="003D57AF">
            <w:r w:rsidRPr="00194435">
              <w:rPr>
                <w:bCs/>
              </w:rPr>
              <w:t>年度</w:t>
            </w:r>
          </w:p>
        </w:tc>
        <w:tc>
          <w:tcPr>
            <w:tcW w:w="15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66EC5D8" w14:textId="77777777" w:rsidR="003D57AF" w:rsidRPr="00194435" w:rsidRDefault="003D57AF" w:rsidP="003D57AF">
            <w:r w:rsidRPr="00194435">
              <w:rPr>
                <w:bCs/>
              </w:rPr>
              <w:t>2006</w:t>
            </w:r>
            <w:r w:rsidRPr="00194435">
              <w:rPr>
                <w:bCs/>
              </w:rPr>
              <w:t>年</w:t>
            </w:r>
          </w:p>
        </w:tc>
        <w:tc>
          <w:tcPr>
            <w:tcW w:w="15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2A8BD3F" w14:textId="77777777" w:rsidR="003D57AF" w:rsidRPr="00194435" w:rsidRDefault="003D57AF" w:rsidP="003D57AF">
            <w:r w:rsidRPr="00194435">
              <w:rPr>
                <w:bCs/>
              </w:rPr>
              <w:t>2007</w:t>
            </w:r>
            <w:r w:rsidRPr="00194435">
              <w:rPr>
                <w:bCs/>
              </w:rPr>
              <w:t>年</w:t>
            </w:r>
          </w:p>
        </w:tc>
        <w:tc>
          <w:tcPr>
            <w:tcW w:w="15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E70E232" w14:textId="77777777" w:rsidR="003D57AF" w:rsidRPr="00194435" w:rsidRDefault="003D57AF" w:rsidP="003D57AF">
            <w:r w:rsidRPr="00194435">
              <w:rPr>
                <w:bCs/>
              </w:rPr>
              <w:t>2008</w:t>
            </w:r>
            <w:r w:rsidRPr="00194435">
              <w:rPr>
                <w:bCs/>
              </w:rPr>
              <w:t>年</w:t>
            </w:r>
          </w:p>
        </w:tc>
        <w:tc>
          <w:tcPr>
            <w:tcW w:w="13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BA25682" w14:textId="77777777" w:rsidR="003D57AF" w:rsidRPr="00194435" w:rsidRDefault="003D57AF" w:rsidP="003D57AF">
            <w:r w:rsidRPr="00194435">
              <w:rPr>
                <w:bCs/>
              </w:rPr>
              <w:t>2009</w:t>
            </w:r>
            <w:r w:rsidRPr="00194435">
              <w:rPr>
                <w:bCs/>
              </w:rPr>
              <w:t>年</w:t>
            </w:r>
          </w:p>
        </w:tc>
        <w:tc>
          <w:tcPr>
            <w:tcW w:w="17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DDD7180" w14:textId="77777777" w:rsidR="003D57AF" w:rsidRPr="00194435" w:rsidRDefault="003D57AF" w:rsidP="003D57AF">
            <w:r w:rsidRPr="00194435">
              <w:rPr>
                <w:bCs/>
              </w:rPr>
              <w:t>2010</w:t>
            </w:r>
            <w:r w:rsidRPr="00194435">
              <w:rPr>
                <w:bCs/>
              </w:rPr>
              <w:t>年</w:t>
            </w:r>
          </w:p>
        </w:tc>
      </w:tr>
      <w:tr w:rsidR="003D57AF" w:rsidRPr="00194435" w14:paraId="2037B799" w14:textId="77777777" w:rsidTr="003D57AF">
        <w:trPr>
          <w:trHeight w:val="189"/>
        </w:trPr>
        <w:tc>
          <w:tcPr>
            <w:tcW w:w="7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1D64335" w14:textId="77777777" w:rsidR="003D57AF" w:rsidRPr="00194435" w:rsidRDefault="003D57AF" w:rsidP="003D57AF">
            <w:r w:rsidRPr="00194435">
              <w:t>▲PS</w:t>
            </w:r>
          </w:p>
        </w:tc>
        <w:tc>
          <w:tcPr>
            <w:tcW w:w="15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3DD082A" w14:textId="77777777" w:rsidR="003D57AF" w:rsidRPr="00194435" w:rsidRDefault="003D57AF" w:rsidP="003D57AF">
            <w:r w:rsidRPr="00194435">
              <w:t>-3400</w:t>
            </w:r>
            <w:r w:rsidRPr="00194435">
              <w:t>億円</w:t>
            </w:r>
          </w:p>
        </w:tc>
        <w:tc>
          <w:tcPr>
            <w:tcW w:w="15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18F3123" w14:textId="77777777" w:rsidR="003D57AF" w:rsidRPr="00194435" w:rsidRDefault="003D57AF" w:rsidP="003D57AF">
            <w:r w:rsidRPr="00194435">
              <w:t>-6700</w:t>
            </w:r>
            <w:r w:rsidRPr="00194435">
              <w:t>億円</w:t>
            </w:r>
          </w:p>
        </w:tc>
        <w:tc>
          <w:tcPr>
            <w:tcW w:w="15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D5CEB8C" w14:textId="77777777" w:rsidR="003D57AF" w:rsidRPr="00194435" w:rsidRDefault="003D57AF" w:rsidP="003D57AF">
            <w:r w:rsidRPr="00194435">
              <w:t>-7000</w:t>
            </w:r>
            <w:r w:rsidRPr="00194435">
              <w:t>億円</w:t>
            </w:r>
          </w:p>
        </w:tc>
        <w:tc>
          <w:tcPr>
            <w:tcW w:w="13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0C53FE9" w14:textId="77777777" w:rsidR="003D57AF" w:rsidRPr="00194435" w:rsidRDefault="003D57AF" w:rsidP="003D57AF">
            <w:r w:rsidRPr="00194435">
              <w:t>-1</w:t>
            </w:r>
            <w:r w:rsidRPr="00194435">
              <w:t>兆円</w:t>
            </w:r>
          </w:p>
        </w:tc>
        <w:tc>
          <w:tcPr>
            <w:tcW w:w="17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31B69F" w14:textId="77777777" w:rsidR="003D57AF" w:rsidRPr="00194435" w:rsidRDefault="003D57AF" w:rsidP="003D57AF">
            <w:r w:rsidRPr="00194435">
              <w:t>-1</w:t>
            </w:r>
            <w:r w:rsidRPr="00194435">
              <w:t>兆</w:t>
            </w:r>
            <w:r w:rsidRPr="00194435">
              <w:t>1000</w:t>
            </w:r>
            <w:r w:rsidRPr="00194435">
              <w:t>億円</w:t>
            </w:r>
          </w:p>
        </w:tc>
      </w:tr>
    </w:tbl>
    <w:p w14:paraId="148B2726" w14:textId="77777777" w:rsidR="003D57AF" w:rsidRDefault="003D57AF" w:rsidP="00194435"/>
    <w:p w14:paraId="3969A9FB" w14:textId="77777777" w:rsidR="003D57AF" w:rsidRPr="001B7FFE" w:rsidRDefault="003D57AF" w:rsidP="003D57AF">
      <w:pPr>
        <w:ind w:firstLineChars="100" w:firstLine="210"/>
      </w:pPr>
      <w:r w:rsidRPr="001B7FFE">
        <w:rPr>
          <w:rFonts w:hint="eastAsia"/>
        </w:rPr>
        <w:t>概して生産者余剰の変化分がマイナスであるのは、金利及び供給量の低下に原因がある。</w:t>
      </w:r>
    </w:p>
    <w:p w14:paraId="25AADF79" w14:textId="77777777" w:rsidR="003D57AF" w:rsidRDefault="003D57AF" w:rsidP="003D57AF">
      <w:r w:rsidRPr="001B7FFE">
        <w:t>2007</w:t>
      </w:r>
      <w:r w:rsidRPr="001B7FFE">
        <w:rPr>
          <w:rFonts w:hint="eastAsia"/>
        </w:rPr>
        <w:t>年及び</w:t>
      </w:r>
      <w:r w:rsidRPr="001B7FFE">
        <w:t>2008</w:t>
      </w:r>
      <w:r w:rsidRPr="001B7FFE">
        <w:rPr>
          <w:rFonts w:hint="eastAsia"/>
        </w:rPr>
        <w:t>年の生産者余剰変化分を基としたときに、</w:t>
      </w:r>
      <w:r w:rsidRPr="001B7FFE">
        <w:t>2006</w:t>
      </w:r>
      <w:r w:rsidRPr="001B7FFE">
        <w:rPr>
          <w:rFonts w:hint="eastAsia"/>
        </w:rPr>
        <w:t>年のそれが少ない理由は</w:t>
      </w:r>
      <w:r w:rsidRPr="001B7FFE">
        <w:t>2005</w:t>
      </w:r>
      <w:r w:rsidRPr="001B7FFE">
        <w:rPr>
          <w:rFonts w:hint="eastAsia"/>
        </w:rPr>
        <w:t>年に比べて</w:t>
      </w:r>
      <w:r w:rsidRPr="001B7FFE">
        <w:t>2006</w:t>
      </w:r>
      <w:r w:rsidRPr="001B7FFE">
        <w:rPr>
          <w:rFonts w:hint="eastAsia"/>
        </w:rPr>
        <w:t>年の</w:t>
      </w:r>
      <w:r>
        <w:rPr>
          <w:rFonts w:hint="eastAsia"/>
        </w:rPr>
        <w:t>貸出量</w:t>
      </w:r>
      <w:r w:rsidRPr="001B7FFE">
        <w:rPr>
          <w:rFonts w:hint="eastAsia"/>
        </w:rPr>
        <w:t>の変化分が小さい一方で、</w:t>
      </w:r>
      <w:r w:rsidRPr="001B7FFE">
        <w:t>2007</w:t>
      </w:r>
      <w:r w:rsidRPr="001B7FFE">
        <w:rPr>
          <w:rFonts w:hint="eastAsia"/>
        </w:rPr>
        <w:t>年及び</w:t>
      </w:r>
      <w:r w:rsidRPr="001B7FFE">
        <w:t>2008</w:t>
      </w:r>
      <w:r w:rsidRPr="001B7FFE">
        <w:rPr>
          <w:rFonts w:hint="eastAsia"/>
        </w:rPr>
        <w:t>年の</w:t>
      </w:r>
      <w:r>
        <w:rPr>
          <w:rFonts w:hint="eastAsia"/>
        </w:rPr>
        <w:t>貸出量</w:t>
      </w:r>
      <w:r w:rsidRPr="001B7FFE">
        <w:rPr>
          <w:rFonts w:hint="eastAsia"/>
        </w:rPr>
        <w:t>が大きく減少したことがある。</w:t>
      </w:r>
    </w:p>
    <w:p w14:paraId="274BDDE8" w14:textId="77777777" w:rsidR="003D57AF" w:rsidRDefault="003D57AF" w:rsidP="003D57AF"/>
    <w:p w14:paraId="248CC28F" w14:textId="77777777" w:rsidR="003D57AF" w:rsidRDefault="003D57AF" w:rsidP="00E96D25">
      <w:pPr>
        <w:pStyle w:val="2"/>
      </w:pPr>
      <w:bookmarkStart w:id="23" w:name="_Toc221603832"/>
      <w:r>
        <w:rPr>
          <w:rFonts w:hint="eastAsia"/>
        </w:rPr>
        <w:lastRenderedPageBreak/>
        <w:t>7</w:t>
      </w:r>
      <w:r>
        <w:rPr>
          <w:rFonts w:hint="eastAsia"/>
        </w:rPr>
        <w:t>章　社会的余剰</w:t>
      </w:r>
      <w:bookmarkEnd w:id="23"/>
    </w:p>
    <w:p w14:paraId="4710A10B" w14:textId="0C865266" w:rsidR="003D57AF" w:rsidRPr="003D57AF" w:rsidRDefault="003D57AF" w:rsidP="00194435">
      <w:r>
        <w:rPr>
          <w:rFonts w:hint="eastAsia"/>
        </w:rPr>
        <w:t xml:space="preserve">　</w:t>
      </w:r>
      <w:r>
        <w:rPr>
          <w:rFonts w:hint="eastAsia"/>
        </w:rPr>
        <w:t>5</w:t>
      </w:r>
      <w:r>
        <w:rPr>
          <w:rFonts w:hint="eastAsia"/>
        </w:rPr>
        <w:t>章及び</w:t>
      </w:r>
      <w:r>
        <w:rPr>
          <w:rFonts w:hint="eastAsia"/>
        </w:rPr>
        <w:t>6</w:t>
      </w:r>
      <w:r>
        <w:rPr>
          <w:rFonts w:hint="eastAsia"/>
        </w:rPr>
        <w:t>章の結果を使うと</w:t>
      </w:r>
      <w:r w:rsidR="00651C0F">
        <w:rPr>
          <w:rFonts w:hint="eastAsia"/>
        </w:rPr>
        <w:t>Without</w:t>
      </w:r>
      <w:r w:rsidR="00651C0F">
        <w:rPr>
          <w:rFonts w:hint="eastAsia"/>
        </w:rPr>
        <w:t>ケースにおける消費者金融市場における各年の社会的余剰の変化</w:t>
      </w:r>
      <w:r>
        <w:rPr>
          <w:rFonts w:hint="eastAsia"/>
        </w:rPr>
        <w:t>は以下のようになる。</w:t>
      </w:r>
    </w:p>
    <w:p w14:paraId="63FF0C91" w14:textId="0C7C7962" w:rsidR="003D57AF" w:rsidRPr="003D57AF" w:rsidRDefault="00651C0F" w:rsidP="00651C0F">
      <w:pPr>
        <w:jc w:val="center"/>
      </w:pPr>
      <w:r>
        <w:rPr>
          <w:rFonts w:hint="eastAsia"/>
        </w:rPr>
        <w:t>表</w:t>
      </w:r>
      <w:r>
        <w:rPr>
          <w:rFonts w:hint="eastAsia"/>
        </w:rPr>
        <w:t>7</w:t>
      </w:r>
      <w:r>
        <w:rPr>
          <w:rFonts w:hint="eastAsia"/>
        </w:rPr>
        <w:t>−</w:t>
      </w:r>
      <w:r>
        <w:rPr>
          <w:rFonts w:hint="eastAsia"/>
        </w:rPr>
        <w:t>1</w:t>
      </w:r>
    </w:p>
    <w:tbl>
      <w:tblPr>
        <w:tblpPr w:leftFromText="142" w:rightFromText="142" w:vertAnchor="text" w:horzAnchor="margin" w:tblpY="219"/>
        <w:tblW w:w="8729" w:type="dxa"/>
        <w:tblCellMar>
          <w:left w:w="0" w:type="dxa"/>
          <w:right w:w="0" w:type="dxa"/>
        </w:tblCellMar>
        <w:tblLook w:val="0420" w:firstRow="1" w:lastRow="0" w:firstColumn="0" w:lastColumn="0" w:noHBand="0" w:noVBand="1"/>
      </w:tblPr>
      <w:tblGrid>
        <w:gridCol w:w="770"/>
        <w:gridCol w:w="1593"/>
        <w:gridCol w:w="1594"/>
        <w:gridCol w:w="1594"/>
        <w:gridCol w:w="1390"/>
        <w:gridCol w:w="1788"/>
      </w:tblGrid>
      <w:tr w:rsidR="003D57AF" w:rsidRPr="00194435" w14:paraId="01BCCED1" w14:textId="77777777" w:rsidTr="003D57AF">
        <w:trPr>
          <w:trHeight w:val="335"/>
        </w:trPr>
        <w:tc>
          <w:tcPr>
            <w:tcW w:w="7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A921441" w14:textId="77777777" w:rsidR="003D57AF" w:rsidRPr="00194435" w:rsidRDefault="003D57AF" w:rsidP="003D57AF">
            <w:r w:rsidRPr="00194435">
              <w:rPr>
                <w:bCs/>
              </w:rPr>
              <w:t>年度</w:t>
            </w:r>
          </w:p>
        </w:tc>
        <w:tc>
          <w:tcPr>
            <w:tcW w:w="15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11FEBEF" w14:textId="77777777" w:rsidR="003D57AF" w:rsidRPr="00194435" w:rsidRDefault="003D57AF" w:rsidP="003D57AF">
            <w:r w:rsidRPr="00194435">
              <w:rPr>
                <w:bCs/>
              </w:rPr>
              <w:t>2006</w:t>
            </w:r>
            <w:r w:rsidRPr="00194435">
              <w:rPr>
                <w:bCs/>
              </w:rPr>
              <w:t>年</w:t>
            </w:r>
          </w:p>
        </w:tc>
        <w:tc>
          <w:tcPr>
            <w:tcW w:w="15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0AB265D" w14:textId="77777777" w:rsidR="003D57AF" w:rsidRPr="00194435" w:rsidRDefault="003D57AF" w:rsidP="003D57AF">
            <w:r w:rsidRPr="00194435">
              <w:rPr>
                <w:bCs/>
              </w:rPr>
              <w:t>2007</w:t>
            </w:r>
            <w:r w:rsidRPr="00194435">
              <w:rPr>
                <w:bCs/>
              </w:rPr>
              <w:t>年</w:t>
            </w:r>
          </w:p>
        </w:tc>
        <w:tc>
          <w:tcPr>
            <w:tcW w:w="15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0EB7EE5" w14:textId="77777777" w:rsidR="003D57AF" w:rsidRPr="00194435" w:rsidRDefault="003D57AF" w:rsidP="003D57AF">
            <w:r w:rsidRPr="00194435">
              <w:rPr>
                <w:bCs/>
              </w:rPr>
              <w:t>2008</w:t>
            </w:r>
            <w:r w:rsidRPr="00194435">
              <w:rPr>
                <w:bCs/>
              </w:rPr>
              <w:t>年</w:t>
            </w:r>
          </w:p>
        </w:tc>
        <w:tc>
          <w:tcPr>
            <w:tcW w:w="13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5701179" w14:textId="77777777" w:rsidR="003D57AF" w:rsidRPr="00194435" w:rsidRDefault="003D57AF" w:rsidP="003D57AF">
            <w:r w:rsidRPr="00194435">
              <w:rPr>
                <w:bCs/>
              </w:rPr>
              <w:t>2009</w:t>
            </w:r>
            <w:r w:rsidRPr="00194435">
              <w:rPr>
                <w:bCs/>
              </w:rPr>
              <w:t>年</w:t>
            </w:r>
          </w:p>
        </w:tc>
        <w:tc>
          <w:tcPr>
            <w:tcW w:w="17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5B3994" w14:textId="77777777" w:rsidR="003D57AF" w:rsidRPr="00194435" w:rsidRDefault="003D57AF" w:rsidP="003D57AF">
            <w:r w:rsidRPr="00194435">
              <w:rPr>
                <w:bCs/>
              </w:rPr>
              <w:t>2010</w:t>
            </w:r>
            <w:r w:rsidRPr="00194435">
              <w:rPr>
                <w:bCs/>
              </w:rPr>
              <w:t>年</w:t>
            </w:r>
          </w:p>
        </w:tc>
      </w:tr>
      <w:tr w:rsidR="003D57AF" w:rsidRPr="00194435" w14:paraId="060C6607" w14:textId="77777777" w:rsidTr="003D57AF">
        <w:trPr>
          <w:trHeight w:val="189"/>
        </w:trPr>
        <w:tc>
          <w:tcPr>
            <w:tcW w:w="7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356D8B4" w14:textId="77777777" w:rsidR="003D57AF" w:rsidRPr="00194435" w:rsidRDefault="003D57AF" w:rsidP="003D57AF">
            <w:r>
              <w:t>▲</w:t>
            </w:r>
            <w:r>
              <w:rPr>
                <w:rFonts w:hint="eastAsia"/>
              </w:rPr>
              <w:t>S</w:t>
            </w:r>
            <w:r w:rsidRPr="00194435">
              <w:t>S</w:t>
            </w:r>
          </w:p>
        </w:tc>
        <w:tc>
          <w:tcPr>
            <w:tcW w:w="15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5C454BF" w14:textId="77777777" w:rsidR="003D57AF" w:rsidRPr="00194435" w:rsidRDefault="003D57AF" w:rsidP="003D57AF">
            <w:r>
              <w:t>-3</w:t>
            </w:r>
            <w:r>
              <w:rPr>
                <w:rFonts w:hint="eastAsia"/>
              </w:rPr>
              <w:t>0</w:t>
            </w:r>
            <w:r w:rsidRPr="00194435">
              <w:t>00</w:t>
            </w:r>
            <w:r w:rsidRPr="00194435">
              <w:t>億円</w:t>
            </w:r>
          </w:p>
        </w:tc>
        <w:tc>
          <w:tcPr>
            <w:tcW w:w="15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7F40EB0" w14:textId="77777777" w:rsidR="003D57AF" w:rsidRPr="00194435" w:rsidRDefault="003D57AF" w:rsidP="003D57AF">
            <w:r w:rsidRPr="00194435">
              <w:t>-</w:t>
            </w:r>
            <w:r>
              <w:rPr>
                <w:rFonts w:hint="eastAsia"/>
              </w:rPr>
              <w:t>50</w:t>
            </w:r>
            <w:r w:rsidRPr="00194435">
              <w:t>00</w:t>
            </w:r>
            <w:r w:rsidRPr="00194435">
              <w:t>億円</w:t>
            </w:r>
          </w:p>
        </w:tc>
        <w:tc>
          <w:tcPr>
            <w:tcW w:w="15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8E42D9C" w14:textId="77777777" w:rsidR="003D57AF" w:rsidRPr="00194435" w:rsidRDefault="003D57AF" w:rsidP="003D57AF">
            <w:r w:rsidRPr="00194435">
              <w:t>-</w:t>
            </w:r>
            <w:r>
              <w:rPr>
                <w:rFonts w:hint="eastAsia"/>
              </w:rPr>
              <w:t>5</w:t>
            </w:r>
            <w:r w:rsidRPr="00194435">
              <w:t>000</w:t>
            </w:r>
            <w:r w:rsidRPr="00194435">
              <w:t>億円</w:t>
            </w:r>
          </w:p>
        </w:tc>
        <w:tc>
          <w:tcPr>
            <w:tcW w:w="13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4B691F0" w14:textId="77777777" w:rsidR="003D57AF" w:rsidRPr="00194435" w:rsidRDefault="003D57AF" w:rsidP="003D57AF">
            <w:r w:rsidRPr="00194435">
              <w:t>-</w:t>
            </w:r>
            <w:r>
              <w:rPr>
                <w:rFonts w:hint="eastAsia"/>
              </w:rPr>
              <w:t>7700</w:t>
            </w:r>
            <w:r>
              <w:rPr>
                <w:rFonts w:hint="eastAsia"/>
              </w:rPr>
              <w:t>億</w:t>
            </w:r>
            <w:r w:rsidRPr="00194435">
              <w:t>円</w:t>
            </w:r>
          </w:p>
        </w:tc>
        <w:tc>
          <w:tcPr>
            <w:tcW w:w="17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B097CFB" w14:textId="77777777" w:rsidR="003D57AF" w:rsidRPr="00194435" w:rsidRDefault="003D57AF" w:rsidP="003D57AF">
            <w:r w:rsidRPr="00194435">
              <w:t>-</w:t>
            </w:r>
            <w:r>
              <w:rPr>
                <w:rFonts w:hint="eastAsia"/>
              </w:rPr>
              <w:t>8500</w:t>
            </w:r>
            <w:r w:rsidRPr="00194435">
              <w:t>億円</w:t>
            </w:r>
          </w:p>
        </w:tc>
      </w:tr>
    </w:tbl>
    <w:p w14:paraId="2C884CD6" w14:textId="77777777" w:rsidR="00651C0F" w:rsidRDefault="00651C0F" w:rsidP="001B7FFE"/>
    <w:p w14:paraId="262742EC" w14:textId="6C718BE2" w:rsidR="00107958" w:rsidRDefault="00651C0F" w:rsidP="00107958">
      <w:r>
        <w:rPr>
          <w:rFonts w:hint="eastAsia"/>
        </w:rPr>
        <w:t xml:space="preserve">　また</w:t>
      </w:r>
      <w:r>
        <w:rPr>
          <w:rFonts w:hint="eastAsia"/>
        </w:rPr>
        <w:t>Without</w:t>
      </w:r>
      <w:r>
        <w:rPr>
          <w:rFonts w:hint="eastAsia"/>
        </w:rPr>
        <w:t>ケースにおける</w:t>
      </w:r>
      <w:r w:rsidR="00107958">
        <w:rPr>
          <w:rFonts w:hint="eastAsia"/>
        </w:rPr>
        <w:t>消費者金融市場における各年の社会的余剰の変化の合計</w:t>
      </w:r>
      <w:r w:rsidR="00107958">
        <w:rPr>
          <w:rFonts w:hint="eastAsia"/>
        </w:rPr>
        <w:t>-3</w:t>
      </w:r>
      <w:r w:rsidR="00107958">
        <w:rPr>
          <w:rFonts w:hint="eastAsia"/>
        </w:rPr>
        <w:t>兆円</w:t>
      </w:r>
      <w:r w:rsidR="00DA7404">
        <w:rPr>
          <w:rFonts w:hint="eastAsia"/>
        </w:rPr>
        <w:t>である</w:t>
      </w:r>
      <w:r>
        <w:rPr>
          <w:rFonts w:hint="eastAsia"/>
        </w:rPr>
        <w:t>。</w:t>
      </w:r>
    </w:p>
    <w:p w14:paraId="7B13508C" w14:textId="77777777" w:rsidR="0093127F" w:rsidRDefault="0093127F" w:rsidP="0093127F">
      <w:pPr>
        <w:pStyle w:val="2"/>
      </w:pPr>
      <w:bookmarkStart w:id="24" w:name="_Toc221603833"/>
      <w:r>
        <w:rPr>
          <w:rFonts w:hint="eastAsia"/>
        </w:rPr>
        <w:t>8</w:t>
      </w:r>
      <w:r>
        <w:rPr>
          <w:rFonts w:hint="eastAsia"/>
        </w:rPr>
        <w:t>章　多重債務者</w:t>
      </w:r>
      <w:bookmarkEnd w:id="24"/>
    </w:p>
    <w:p w14:paraId="2F060BE3" w14:textId="18F21D2A" w:rsidR="0093127F" w:rsidRDefault="00961B4B" w:rsidP="0093127F">
      <w:r>
        <w:rPr>
          <w:rFonts w:hint="eastAsia"/>
        </w:rPr>
        <w:t xml:space="preserve">　</w:t>
      </w:r>
      <w:r w:rsidR="0093127F">
        <w:rPr>
          <w:rFonts w:hint="eastAsia"/>
        </w:rPr>
        <w:t>本章では多重債務者問題について触れる。以降の分析から結論付けられることは警察及び政府が把握している現段階の統計のみで多重債務者問題について論じることは慎重になるべきである一方で、今後の課題を明らかにするためにいくつかの先行研究を取り上げることでこの問題について論じる。</w:t>
      </w:r>
    </w:p>
    <w:p w14:paraId="1602D511" w14:textId="0FB20415" w:rsidR="0093127F" w:rsidRPr="001C07FD" w:rsidRDefault="0093127F" w:rsidP="0093127F">
      <w:r>
        <w:rPr>
          <w:rFonts w:hint="eastAsia"/>
        </w:rPr>
        <w:t xml:space="preserve">　まず図</w:t>
      </w:r>
      <w:r>
        <w:rPr>
          <w:rFonts w:hint="eastAsia"/>
        </w:rPr>
        <w:t>8-</w:t>
      </w:r>
      <w:r w:rsidR="00961B4B">
        <w:t>1</w:t>
      </w:r>
      <w:r>
        <w:rPr>
          <w:rFonts w:hint="eastAsia"/>
        </w:rPr>
        <w:t>が示すヤミ金融事犯検挙事件数の統計及び図</w:t>
      </w:r>
      <w:r>
        <w:rPr>
          <w:rFonts w:hint="eastAsia"/>
        </w:rPr>
        <w:t>8-</w:t>
      </w:r>
      <w:r w:rsidR="00961B4B">
        <w:rPr>
          <w:rFonts w:hint="eastAsia"/>
        </w:rPr>
        <w:t>2</w:t>
      </w:r>
      <w:r>
        <w:rPr>
          <w:rFonts w:hint="eastAsia"/>
        </w:rPr>
        <w:t>が示す自己破産申請件数についてである。双方の統計が示すように</w:t>
      </w:r>
      <w:r>
        <w:rPr>
          <w:rFonts w:hint="eastAsia"/>
        </w:rPr>
        <w:t>2003</w:t>
      </w:r>
      <w:r>
        <w:rPr>
          <w:rFonts w:hint="eastAsia"/>
        </w:rPr>
        <w:t>年よりヤミ金融事犯検挙事件数と自己破産申請件数は減少傾向にあった。これは</w:t>
      </w:r>
      <w:r>
        <w:rPr>
          <w:rFonts w:hint="eastAsia"/>
        </w:rPr>
        <w:t>2003</w:t>
      </w:r>
      <w:r>
        <w:rPr>
          <w:rFonts w:hint="eastAsia"/>
        </w:rPr>
        <w:t>年に施行されたヤミ金融対策法の影響と考えられる一方で中村氏が述べるような規制当局の性質</w:t>
      </w:r>
      <w:r>
        <w:rPr>
          <w:rStyle w:val="af"/>
        </w:rPr>
        <w:footnoteReference w:id="11"/>
      </w:r>
      <w:r>
        <w:rPr>
          <w:rFonts w:hint="eastAsia"/>
        </w:rPr>
        <w:t>により、この減少がヤミ金融対策法の罰則強化によるものとは断定できない。図</w:t>
      </w:r>
      <w:r>
        <w:rPr>
          <w:rFonts w:hint="eastAsia"/>
        </w:rPr>
        <w:t>8-</w:t>
      </w:r>
      <w:r w:rsidR="00961B4B">
        <w:rPr>
          <w:rFonts w:hint="eastAsia"/>
        </w:rPr>
        <w:t>1</w:t>
      </w:r>
      <w:r>
        <w:rPr>
          <w:rFonts w:hint="eastAsia"/>
        </w:rPr>
        <w:t>において</w:t>
      </w:r>
      <w:r>
        <w:rPr>
          <w:rFonts w:hint="eastAsia"/>
        </w:rPr>
        <w:t>2007</w:t>
      </w:r>
      <w:r>
        <w:rPr>
          <w:rFonts w:hint="eastAsia"/>
        </w:rPr>
        <w:t>年のヤミ金融事犯検挙事件数が前年より上昇した原因についてはリーマンショックによる景気悪化によって、消費者金融にアクセスできない人の中でヤミ金に対する需要が増えて、それに応じて検挙数が増えたとも推察できるが、その原因は定かではない。仮にヤミ金融事犯検挙事件数の統計が示すようにヤミ金融が減少しているとするならば、その原因は</w:t>
      </w:r>
      <w:r>
        <w:rPr>
          <w:rFonts w:hint="eastAsia"/>
        </w:rPr>
        <w:t>2003</w:t>
      </w:r>
      <w:r>
        <w:rPr>
          <w:rFonts w:hint="eastAsia"/>
        </w:rPr>
        <w:t>年のヤミ金融対策法による規制強化及び</w:t>
      </w:r>
      <w:r>
        <w:rPr>
          <w:rFonts w:hint="eastAsia"/>
        </w:rPr>
        <w:t>2006</w:t>
      </w:r>
      <w:r>
        <w:rPr>
          <w:rFonts w:hint="eastAsia"/>
        </w:rPr>
        <w:t>年以降に通常の金利よりも高いグレーゾーン金利のもとでの貸出が減り、それに応じてヤミ金融にアクセスする必要性が低くなったこと、貸金業法改正によって貸出できなくなった需要者がヤミ金融における法外な金利及び犯罪コストを恐れてヤミ金融市場に流れなかったことなどが考えられる。</w:t>
      </w:r>
    </w:p>
    <w:p w14:paraId="05B4993D" w14:textId="2E8F8526" w:rsidR="0093127F" w:rsidRDefault="0093127F" w:rsidP="0093127F">
      <w:pPr>
        <w:ind w:firstLineChars="100" w:firstLine="210"/>
      </w:pPr>
      <w:r>
        <w:rPr>
          <w:rFonts w:hint="eastAsia"/>
        </w:rPr>
        <w:t>次は今回の貸金業法</w:t>
      </w:r>
      <w:r w:rsidR="00961B4B">
        <w:rPr>
          <w:rFonts w:hint="eastAsia"/>
        </w:rPr>
        <w:t>改正と多重債務者問題について論じた先行研究についてである。堂下（</w:t>
      </w:r>
      <w:r w:rsidR="00961B4B">
        <w:t>2011</w:t>
      </w:r>
      <w:r w:rsidR="00961B4B">
        <w:rPr>
          <w:rFonts w:hint="eastAsia"/>
        </w:rPr>
        <w:t>）によると、</w:t>
      </w:r>
      <w:r>
        <w:rPr>
          <w:rFonts w:hint="eastAsia"/>
        </w:rPr>
        <w:t>今回の貸金業法改正によって既存の借り手の多くがヤミ金市場にアクセスしている可能性を指摘している。しかしながら、図</w:t>
      </w:r>
      <w:r>
        <w:rPr>
          <w:rFonts w:hint="eastAsia"/>
        </w:rPr>
        <w:t>8-</w:t>
      </w:r>
      <w:r w:rsidR="00961B4B">
        <w:rPr>
          <w:rFonts w:hint="eastAsia"/>
        </w:rPr>
        <w:t>2</w:t>
      </w:r>
      <w:r>
        <w:rPr>
          <w:rFonts w:hint="eastAsia"/>
        </w:rPr>
        <w:t>が示すように自己破産申請件数は減っていて、必ずしも事実が堂下の主張を支えているとは言い難い。なぜなら、ヤミ金融にアクセスする人が増えているならば、それに応じて自己破産申請件数も増えると考えられるからだ。他にも新</w:t>
      </w:r>
      <w:r>
        <w:rPr>
          <w:rFonts w:hint="eastAsia"/>
        </w:rPr>
        <w:lastRenderedPageBreak/>
        <w:t>規時において、与信者による無理な貸付けが行われている事実を確認することはできなかったと樋口</w:t>
      </w:r>
      <w:r>
        <w:rPr>
          <w:rStyle w:val="af"/>
        </w:rPr>
        <w:footnoteReference w:id="12"/>
      </w:r>
      <w:r>
        <w:rPr>
          <w:rFonts w:hint="eastAsia"/>
        </w:rPr>
        <w:t>は述べていて、このことは消費者金融が貸付のみを行っていて、貸金業法改正が自己破産申請件数に減少に寄与するという効果はないということを示唆している。他の要因が自己破産申請件数を減少させた可能性があるとはいえ</w:t>
      </w:r>
      <w:r w:rsidR="00961B4B">
        <w:rPr>
          <w:rFonts w:hint="eastAsia"/>
        </w:rPr>
        <w:t>、この樋口</w:t>
      </w:r>
      <w:r>
        <w:rPr>
          <w:rFonts w:hint="eastAsia"/>
        </w:rPr>
        <w:t>の主張も実際の自己破産申請件数の統計と整合的ではない。</w:t>
      </w:r>
    </w:p>
    <w:p w14:paraId="36765C8E" w14:textId="363E5A76" w:rsidR="00CB1B84" w:rsidRDefault="0093127F" w:rsidP="00DA7404">
      <w:pPr>
        <w:ind w:firstLineChars="100" w:firstLine="210"/>
        <w:rPr>
          <w:rFonts w:hint="eastAsia"/>
        </w:rPr>
      </w:pPr>
      <w:r>
        <w:rPr>
          <w:rFonts w:hint="eastAsia"/>
        </w:rPr>
        <w:t>以上のように多重債務者問題について論じてきたが、貸金業法改正との関係についての結論を述べるまでには至らない。貸金業法改正による多重債務者問題への影響を論じるための今後の課題としては、各種の統計の信ぴょう性に対する分析やヤミ金融の実態把握、自己破産者の行動分析などが望まれる。</w:t>
      </w:r>
    </w:p>
    <w:p w14:paraId="11213251" w14:textId="77777777" w:rsidR="00DA7404" w:rsidRDefault="00DA7404" w:rsidP="00DA7404">
      <w:pPr>
        <w:ind w:firstLineChars="100" w:firstLine="210"/>
        <w:rPr>
          <w:rFonts w:hint="eastAsia"/>
        </w:rPr>
      </w:pPr>
    </w:p>
    <w:p w14:paraId="75C98D7F" w14:textId="77777777" w:rsidR="00CB1B84" w:rsidRDefault="00CB1B84" w:rsidP="00E96D25">
      <w:pPr>
        <w:pStyle w:val="2"/>
      </w:pPr>
      <w:bookmarkStart w:id="25" w:name="_Toc221603834"/>
      <w:r>
        <w:rPr>
          <w:rFonts w:hint="eastAsia"/>
        </w:rPr>
        <w:t>9</w:t>
      </w:r>
      <w:r>
        <w:rPr>
          <w:rFonts w:hint="eastAsia"/>
        </w:rPr>
        <w:t>章　結論</w:t>
      </w:r>
      <w:bookmarkEnd w:id="25"/>
    </w:p>
    <w:p w14:paraId="2F7D36C2" w14:textId="47391888" w:rsidR="00DA7404" w:rsidRDefault="00DA7404" w:rsidP="00DA7404">
      <w:r>
        <w:rPr>
          <w:rFonts w:hint="eastAsia"/>
        </w:rPr>
        <w:t xml:space="preserve">　２</w:t>
      </w:r>
      <w:r>
        <w:rPr>
          <w:rFonts w:hint="eastAsia"/>
        </w:rPr>
        <w:t>章では消費者金融市場を概観することで、最高裁判決及び貸金業法改正によって</w:t>
      </w:r>
      <w:r>
        <w:rPr>
          <w:rFonts w:hint="eastAsia"/>
        </w:rPr>
        <w:t>2006</w:t>
      </w:r>
      <w:r>
        <w:rPr>
          <w:rFonts w:hint="eastAsia"/>
        </w:rPr>
        <w:t>年以降の消費者金融市場では構造変化が起こったことを確認した</w:t>
      </w:r>
      <w:r>
        <w:rPr>
          <w:rFonts w:hint="eastAsia"/>
        </w:rPr>
        <w:t>。３</w:t>
      </w:r>
      <w:r>
        <w:rPr>
          <w:rFonts w:hint="eastAsia"/>
        </w:rPr>
        <w:t>章では先行研究を振り返りながら、</w:t>
      </w:r>
      <w:r>
        <w:rPr>
          <w:rFonts w:hint="eastAsia"/>
        </w:rPr>
        <w:t>2006</w:t>
      </w:r>
      <w:r>
        <w:rPr>
          <w:rFonts w:hint="eastAsia"/>
        </w:rPr>
        <w:t>年以降の消費者金融市場の余剰の変化</w:t>
      </w:r>
      <w:r>
        <w:rPr>
          <w:rFonts w:hint="eastAsia"/>
        </w:rPr>
        <w:t>を分析した研究がなく、本稿の余剰分析が独自であることを示した。４</w:t>
      </w:r>
      <w:r>
        <w:rPr>
          <w:rFonts w:hint="eastAsia"/>
        </w:rPr>
        <w:t>章では、消費者金融市場に加えて、カードローン市場や消費者信用市場との比較・実証分析をすることによって</w:t>
      </w:r>
      <w:r>
        <w:rPr>
          <w:rFonts w:hint="eastAsia"/>
        </w:rPr>
        <w:t>2006</w:t>
      </w:r>
      <w:r>
        <w:rPr>
          <w:rFonts w:hint="eastAsia"/>
        </w:rPr>
        <w:t>年以降の消費者金融市場</w:t>
      </w:r>
      <w:r>
        <w:rPr>
          <w:rFonts w:hint="eastAsia"/>
        </w:rPr>
        <w:t>で起こった構造変化がこの市場に固有であるということを証明した。５および６、７章</w:t>
      </w:r>
      <w:r>
        <w:rPr>
          <w:rFonts w:hint="eastAsia"/>
        </w:rPr>
        <w:t>では</w:t>
      </w:r>
      <w:r>
        <w:rPr>
          <w:rFonts w:hint="eastAsia"/>
        </w:rPr>
        <w:t>2005</w:t>
      </w:r>
      <w:r>
        <w:rPr>
          <w:rFonts w:hint="eastAsia"/>
        </w:rPr>
        <w:t>年までの消費者金融市場のデータを実証分析や大手</w:t>
      </w:r>
      <w:r>
        <w:rPr>
          <w:rFonts w:hint="eastAsia"/>
        </w:rPr>
        <w:t>5</w:t>
      </w:r>
      <w:r>
        <w:rPr>
          <w:rFonts w:hint="eastAsia"/>
        </w:rPr>
        <w:t>社の有価証券報告書などのデータから余剰分析を行い、最高裁判決及び貸金業法改正によって</w:t>
      </w:r>
      <w:r>
        <w:rPr>
          <w:rFonts w:hint="eastAsia"/>
        </w:rPr>
        <w:t>2006</w:t>
      </w:r>
      <w:r>
        <w:rPr>
          <w:rFonts w:hint="eastAsia"/>
        </w:rPr>
        <w:t>年以降の消費者金融市場では約</w:t>
      </w:r>
      <w:r>
        <w:rPr>
          <w:rFonts w:hint="eastAsia"/>
        </w:rPr>
        <w:t>3</w:t>
      </w:r>
      <w:r>
        <w:rPr>
          <w:rFonts w:hint="eastAsia"/>
        </w:rPr>
        <w:t>兆円の余剰が失われたということを推計した。８</w:t>
      </w:r>
      <w:r>
        <w:rPr>
          <w:rFonts w:hint="eastAsia"/>
        </w:rPr>
        <w:t>章では、最高裁判決及び貸金業法改正を評価するにあたって重要である多重債務者問題についてヤミ金事犯検挙率や自己破産申請件数の統計を分析した一方で、各種の統計の信ぴょう性に対する分析やヤミ金融の実態把握、自己破産者の行動分析などが課題であると述べた。以上より、本稿の分析で分かった約</w:t>
      </w:r>
      <w:r>
        <w:rPr>
          <w:rFonts w:hint="eastAsia"/>
        </w:rPr>
        <w:t>3</w:t>
      </w:r>
      <w:r>
        <w:rPr>
          <w:rFonts w:hint="eastAsia"/>
        </w:rPr>
        <w:t>兆円の余剰が失われたという理由より、最高裁判決及び貸金業法改正は経済的規制という観点から望ましくないと評価する一方で、多重債務者問題を考慮した社会的規制という観点からはまだこの最高裁判決及び貸金業法改正を断定的には評価できない。金利上限規制の理論的根拠やゆがんだ消費としての消費者金融利用の可能性、多重債務者を含んだ分析を今後の課題とする。</w:t>
      </w:r>
    </w:p>
    <w:p w14:paraId="264E514E" w14:textId="77777777" w:rsidR="00AA35A7" w:rsidRPr="00E152E5" w:rsidRDefault="00AA35A7" w:rsidP="00B675DC">
      <w:pPr>
        <w:rPr>
          <w:rFonts w:asciiTheme="minorEastAsia" w:hAnsiTheme="minorEastAsia"/>
        </w:rPr>
      </w:pPr>
    </w:p>
    <w:p w14:paraId="14F5797E" w14:textId="52B83732" w:rsidR="00B675DC" w:rsidRDefault="00B675DC" w:rsidP="00B675DC"/>
    <w:p w14:paraId="002A5E65" w14:textId="77777777" w:rsidR="00551E55" w:rsidRDefault="00551E55" w:rsidP="00B675DC">
      <w:pPr>
        <w:rPr>
          <w:rFonts w:hint="eastAsia"/>
        </w:rPr>
      </w:pPr>
    </w:p>
    <w:p w14:paraId="74740B60" w14:textId="77777777" w:rsidR="00551E55" w:rsidRDefault="00551E55" w:rsidP="00B675DC">
      <w:pPr>
        <w:rPr>
          <w:rFonts w:hint="eastAsia"/>
        </w:rPr>
      </w:pPr>
    </w:p>
    <w:p w14:paraId="22E5550B" w14:textId="77777777" w:rsidR="00551E55" w:rsidRDefault="00551E55" w:rsidP="00B675DC">
      <w:pPr>
        <w:rPr>
          <w:rFonts w:hint="eastAsia"/>
        </w:rPr>
      </w:pPr>
    </w:p>
    <w:p w14:paraId="52FC4FE7" w14:textId="77777777" w:rsidR="00551E55" w:rsidRDefault="00551E55" w:rsidP="00B675DC">
      <w:pPr>
        <w:rPr>
          <w:rFonts w:hint="eastAsia"/>
        </w:rPr>
      </w:pPr>
    </w:p>
    <w:p w14:paraId="349220A5" w14:textId="77777777" w:rsidR="00551E55" w:rsidRPr="00B675DC" w:rsidRDefault="00551E55" w:rsidP="00B675DC">
      <w:pPr>
        <w:rPr>
          <w:rFonts w:hint="eastAsia"/>
        </w:rPr>
      </w:pPr>
    </w:p>
    <w:p w14:paraId="50464024" w14:textId="304BF63D" w:rsidR="00CB1B84" w:rsidRDefault="00E96D25" w:rsidP="00E96D25">
      <w:pPr>
        <w:pStyle w:val="2"/>
        <w:rPr>
          <w:rFonts w:hint="eastAsia"/>
        </w:rPr>
      </w:pPr>
      <w:bookmarkStart w:id="26" w:name="_Toc221603835"/>
      <w:r>
        <w:rPr>
          <w:rFonts w:hint="eastAsia"/>
        </w:rPr>
        <w:lastRenderedPageBreak/>
        <w:t>参考文献</w:t>
      </w:r>
      <w:bookmarkEnd w:id="26"/>
    </w:p>
    <w:p w14:paraId="27175605" w14:textId="0402BA3E" w:rsidR="00551E55" w:rsidRPr="00551E55" w:rsidRDefault="00551E55" w:rsidP="00551E55">
      <w:pPr>
        <w:rPr>
          <w:rFonts w:asciiTheme="minorEastAsia" w:hAnsiTheme="minorEastAsia" w:cs="ＭＳ Ｐゴシック" w:hint="eastAsia"/>
          <w:color w:val="000000"/>
          <w:kern w:val="0"/>
          <w:sz w:val="20"/>
          <w:szCs w:val="20"/>
        </w:rPr>
      </w:pPr>
      <w:r w:rsidRPr="00B675DC">
        <w:rPr>
          <w:rFonts w:asciiTheme="minorEastAsia" w:hAnsiTheme="minorEastAsia" w:cs="ＭＳ Ｐゴシック" w:hint="eastAsia"/>
          <w:color w:val="000000"/>
          <w:kern w:val="0"/>
          <w:sz w:val="20"/>
          <w:szCs w:val="20"/>
        </w:rPr>
        <w:t xml:space="preserve">Lawrence M, </w:t>
      </w:r>
      <w:proofErr w:type="spellStart"/>
      <w:r w:rsidRPr="00B675DC">
        <w:rPr>
          <w:rFonts w:asciiTheme="minorEastAsia" w:hAnsiTheme="minorEastAsia" w:cs="ＭＳ Ｐゴシック" w:hint="eastAsia"/>
          <w:color w:val="000000"/>
          <w:kern w:val="0"/>
          <w:sz w:val="20"/>
          <w:szCs w:val="20"/>
        </w:rPr>
        <w:t>Ausubel</w:t>
      </w:r>
      <w:proofErr w:type="spellEnd"/>
      <w:r w:rsidRPr="00B675DC">
        <w:rPr>
          <w:rFonts w:asciiTheme="minorEastAsia" w:hAnsiTheme="minorEastAsia" w:cs="ＭＳ Ｐゴシック" w:hint="eastAsia"/>
          <w:color w:val="000000"/>
          <w:kern w:val="0"/>
          <w:sz w:val="20"/>
          <w:szCs w:val="20"/>
        </w:rPr>
        <w:t xml:space="preserve"> </w:t>
      </w:r>
      <w:r w:rsidRPr="00B675DC">
        <w:rPr>
          <w:rFonts w:asciiTheme="minorEastAsia" w:hAnsiTheme="minorEastAsia" w:cs="ＭＳ Ｐゴシック"/>
          <w:color w:val="000000"/>
          <w:kern w:val="0"/>
          <w:sz w:val="20"/>
          <w:szCs w:val="20"/>
        </w:rPr>
        <w:t>“</w:t>
      </w:r>
      <w:r w:rsidRPr="00B675DC">
        <w:rPr>
          <w:rFonts w:asciiTheme="minorEastAsia" w:hAnsiTheme="minorEastAsia" w:cs="ＭＳ Ｐゴシック" w:hint="eastAsia"/>
          <w:color w:val="000000"/>
          <w:kern w:val="0"/>
          <w:sz w:val="20"/>
          <w:szCs w:val="20"/>
        </w:rPr>
        <w:t xml:space="preserve">The Failure of </w:t>
      </w:r>
      <w:r w:rsidRPr="00B675DC">
        <w:rPr>
          <w:rFonts w:asciiTheme="minorEastAsia" w:hAnsiTheme="minorEastAsia" w:cs="ＭＳ Ｐゴシック"/>
          <w:color w:val="000000"/>
          <w:kern w:val="0"/>
          <w:sz w:val="20"/>
          <w:szCs w:val="20"/>
        </w:rPr>
        <w:t>Competition</w:t>
      </w:r>
      <w:r w:rsidRPr="00B675DC">
        <w:rPr>
          <w:rFonts w:asciiTheme="minorEastAsia" w:hAnsiTheme="minorEastAsia" w:cs="ＭＳ Ｐゴシック" w:hint="eastAsia"/>
          <w:color w:val="000000"/>
          <w:kern w:val="0"/>
          <w:sz w:val="20"/>
          <w:szCs w:val="20"/>
        </w:rPr>
        <w:t xml:space="preserve"> in </w:t>
      </w:r>
      <w:r w:rsidRPr="00B675DC">
        <w:rPr>
          <w:rFonts w:asciiTheme="minorEastAsia" w:hAnsiTheme="minorEastAsia" w:cs="ＭＳ Ｐゴシック"/>
          <w:color w:val="000000"/>
          <w:kern w:val="0"/>
          <w:sz w:val="20"/>
          <w:szCs w:val="20"/>
        </w:rPr>
        <w:t>the</w:t>
      </w:r>
      <w:r w:rsidRPr="00B675DC">
        <w:rPr>
          <w:rFonts w:asciiTheme="minorEastAsia" w:hAnsiTheme="minorEastAsia" w:cs="ＭＳ Ｐゴシック" w:hint="eastAsia"/>
          <w:color w:val="000000"/>
          <w:kern w:val="0"/>
          <w:sz w:val="20"/>
          <w:szCs w:val="20"/>
        </w:rPr>
        <w:t xml:space="preserve"> Credit Card Market</w:t>
      </w:r>
      <w:r w:rsidRPr="00B675DC">
        <w:rPr>
          <w:rFonts w:asciiTheme="minorEastAsia" w:hAnsiTheme="minorEastAsia" w:cs="ＭＳ Ｐゴシック"/>
          <w:color w:val="000000"/>
          <w:kern w:val="0"/>
          <w:sz w:val="20"/>
          <w:szCs w:val="20"/>
        </w:rPr>
        <w:t>”</w:t>
      </w:r>
      <w:r w:rsidRPr="00B675DC">
        <w:rPr>
          <w:rFonts w:asciiTheme="minorEastAsia" w:hAnsiTheme="minorEastAsia" w:cs="ＭＳ Ｐゴシック" w:hint="eastAsia"/>
          <w:color w:val="000000"/>
          <w:kern w:val="0"/>
          <w:sz w:val="20"/>
          <w:szCs w:val="20"/>
        </w:rPr>
        <w:t xml:space="preserve"> </w:t>
      </w:r>
      <w:r w:rsidRPr="00B675DC">
        <w:rPr>
          <w:rFonts w:asciiTheme="minorEastAsia" w:hAnsiTheme="minorEastAsia" w:cs="ＭＳ Ｐゴシック" w:hint="eastAsia"/>
          <w:color w:val="000000"/>
          <w:kern w:val="0"/>
          <w:sz w:val="20"/>
          <w:szCs w:val="20"/>
        </w:rPr>
        <w:tab/>
      </w:r>
      <w:r w:rsidRPr="00B675DC">
        <w:rPr>
          <w:rFonts w:asciiTheme="minorEastAsia" w:hAnsiTheme="minorEastAsia" w:cs="ＭＳ Ｐゴシック" w:hint="eastAsia"/>
          <w:i/>
          <w:color w:val="000000"/>
          <w:kern w:val="0"/>
          <w:sz w:val="20"/>
          <w:szCs w:val="20"/>
        </w:rPr>
        <w:t xml:space="preserve">The American Economic Review, </w:t>
      </w:r>
      <w:r w:rsidRPr="00B675DC">
        <w:rPr>
          <w:rFonts w:asciiTheme="minorEastAsia" w:hAnsiTheme="minorEastAsia" w:cs="ＭＳ Ｐゴシック" w:hint="eastAsia"/>
          <w:color w:val="000000"/>
          <w:kern w:val="0"/>
          <w:sz w:val="20"/>
          <w:szCs w:val="20"/>
        </w:rPr>
        <w:t>vol.1, No.1, 1991, pp50-81</w:t>
      </w:r>
      <w:bookmarkStart w:id="27" w:name="_GoBack"/>
      <w:bookmarkEnd w:id="27"/>
    </w:p>
    <w:p w14:paraId="348B9F49" w14:textId="77777777" w:rsidR="00A16D92" w:rsidRDefault="00B675DC" w:rsidP="00B675DC">
      <w:pPr>
        <w:rPr>
          <w:rFonts w:asciiTheme="minorEastAsia" w:hAnsiTheme="minorEastAsia" w:cs="ＭＳ Ｐゴシック"/>
          <w:color w:val="000000"/>
          <w:kern w:val="0"/>
          <w:sz w:val="20"/>
          <w:szCs w:val="20"/>
        </w:rPr>
      </w:pPr>
      <w:r w:rsidRPr="00B675DC">
        <w:rPr>
          <w:rFonts w:asciiTheme="minorEastAsia" w:hAnsiTheme="minorEastAsia" w:cs="ＭＳ Ｐゴシック" w:hint="eastAsia"/>
          <w:color w:val="000000"/>
          <w:kern w:val="0"/>
          <w:sz w:val="20"/>
          <w:szCs w:val="20"/>
        </w:rPr>
        <w:t>大竹文雄、</w:t>
      </w:r>
      <w:r w:rsidRPr="00B675DC">
        <w:rPr>
          <w:rFonts w:asciiTheme="minorEastAsia" w:hAnsiTheme="minorEastAsia" w:cs="MS-Mincho" w:hint="eastAsia"/>
          <w:kern w:val="0"/>
          <w:sz w:val="20"/>
          <w:szCs w:val="20"/>
        </w:rPr>
        <w:t>晝間</w:t>
      </w:r>
      <w:r w:rsidRPr="00B675DC">
        <w:rPr>
          <w:rFonts w:asciiTheme="minorEastAsia" w:hAnsiTheme="minorEastAsia" w:cs="Times New Roman"/>
          <w:color w:val="010101"/>
          <w:sz w:val="20"/>
          <w:szCs w:val="20"/>
        </w:rPr>
        <w:t>文彦</w:t>
      </w:r>
      <w:r w:rsidRPr="00B675DC">
        <w:rPr>
          <w:rFonts w:asciiTheme="minorEastAsia" w:hAnsiTheme="minorEastAsia" w:cs="Times New Roman" w:hint="eastAsia"/>
          <w:color w:val="010101"/>
          <w:sz w:val="20"/>
          <w:szCs w:val="20"/>
        </w:rPr>
        <w:t xml:space="preserve">、筒井義郎ほか </w:t>
      </w:r>
      <w:r w:rsidRPr="00B675DC">
        <w:rPr>
          <w:rFonts w:asciiTheme="minorEastAsia" w:hAnsiTheme="minorEastAsia" w:cs="ＭＳ Ｐゴシック" w:hint="eastAsia"/>
          <w:color w:val="000000"/>
          <w:kern w:val="0"/>
          <w:sz w:val="20"/>
          <w:szCs w:val="20"/>
        </w:rPr>
        <w:t xml:space="preserve">「上限金利規制の是非:行動経済学的アプローチ」 </w:t>
      </w:r>
      <w:r w:rsidRPr="00B675DC">
        <w:rPr>
          <w:rFonts w:asciiTheme="minorEastAsia" w:hAnsiTheme="minorEastAsia" w:cs="ＭＳ Ｐゴシック" w:hint="eastAsia"/>
          <w:color w:val="000000"/>
          <w:kern w:val="0"/>
          <w:sz w:val="20"/>
          <w:szCs w:val="20"/>
        </w:rPr>
        <w:tab/>
      </w:r>
    </w:p>
    <w:p w14:paraId="1D44B8A3" w14:textId="6B6A706F" w:rsidR="00B675DC" w:rsidRPr="00B675DC" w:rsidRDefault="00B675DC" w:rsidP="00A16D92">
      <w:pPr>
        <w:ind w:firstLine="840"/>
        <w:rPr>
          <w:rFonts w:asciiTheme="minorEastAsia" w:hAnsiTheme="minorEastAsia" w:cs="ＭＳ Ｐゴシック"/>
          <w:color w:val="000000"/>
          <w:kern w:val="0"/>
          <w:sz w:val="20"/>
          <w:szCs w:val="20"/>
        </w:rPr>
      </w:pPr>
      <w:r w:rsidRPr="00B675DC">
        <w:rPr>
          <w:rFonts w:asciiTheme="minorEastAsia" w:hAnsiTheme="minorEastAsia" w:cs="ＭＳ Ｐゴシック" w:hint="eastAsia"/>
          <w:color w:val="000000"/>
          <w:kern w:val="0"/>
          <w:sz w:val="20"/>
          <w:szCs w:val="20"/>
        </w:rPr>
        <w:t>大阪大学経済研究所 2007</w:t>
      </w:r>
    </w:p>
    <w:p w14:paraId="706C0B32" w14:textId="77777777" w:rsidR="00B675DC" w:rsidRPr="00B675DC" w:rsidRDefault="00B675DC" w:rsidP="00B675DC">
      <w:pPr>
        <w:rPr>
          <w:sz w:val="20"/>
          <w:szCs w:val="20"/>
        </w:rPr>
      </w:pPr>
      <w:r w:rsidRPr="00B675DC">
        <w:rPr>
          <w:rFonts w:hint="eastAsia"/>
          <w:sz w:val="20"/>
          <w:szCs w:val="20"/>
        </w:rPr>
        <w:t>大塚茂晃「上限金利規制強化が借り手に与える影響　－消費者の最適な消費選択を考慮に</w:t>
      </w:r>
    </w:p>
    <w:p w14:paraId="7BF67007" w14:textId="77777777" w:rsidR="00B675DC" w:rsidRPr="00B675DC" w:rsidRDefault="00B675DC" w:rsidP="00B675DC">
      <w:pPr>
        <w:ind w:firstLine="840"/>
        <w:rPr>
          <w:rFonts w:asciiTheme="minorEastAsia" w:hAnsiTheme="minorEastAsia" w:cs="ＭＳ Ｐゴシック"/>
          <w:color w:val="000000"/>
          <w:kern w:val="0"/>
          <w:sz w:val="20"/>
          <w:szCs w:val="20"/>
        </w:rPr>
      </w:pPr>
      <w:r w:rsidRPr="00B675DC">
        <w:rPr>
          <w:rFonts w:hint="eastAsia"/>
          <w:sz w:val="20"/>
          <w:szCs w:val="20"/>
        </w:rPr>
        <w:t>入れて―」</w:t>
      </w:r>
      <w:r w:rsidRPr="00B675DC">
        <w:rPr>
          <w:rStyle w:val="journaltitleen"/>
          <w:rFonts w:asciiTheme="minorEastAsia" w:hAnsiTheme="minorEastAsia" w:cs="Tahoma"/>
          <w:color w:val="000000"/>
          <w:sz w:val="20"/>
          <w:szCs w:val="20"/>
          <w:shd w:val="clear" w:color="auto" w:fill="FFFFFF"/>
        </w:rPr>
        <w:t>消費者金融サービス研究学会年報</w:t>
      </w:r>
      <w:r w:rsidRPr="00B675DC">
        <w:rPr>
          <w:rStyle w:val="journaltitleen"/>
          <w:rFonts w:asciiTheme="minorEastAsia" w:hAnsiTheme="minorEastAsia" w:cs="Tahoma" w:hint="eastAsia"/>
          <w:color w:val="000000"/>
          <w:sz w:val="20"/>
          <w:szCs w:val="20"/>
          <w:shd w:val="clear" w:color="auto" w:fill="FFFFFF"/>
        </w:rPr>
        <w:t>、2008年8巻19－31頁</w:t>
      </w:r>
    </w:p>
    <w:p w14:paraId="3834A7EB" w14:textId="77777777" w:rsidR="00B675DC" w:rsidRPr="00B675DC" w:rsidRDefault="00B675DC" w:rsidP="00B675DC">
      <w:pPr>
        <w:widowControl/>
        <w:rPr>
          <w:rFonts w:asciiTheme="minorEastAsia" w:hAnsiTheme="minorEastAsia" w:cs="ＭＳ Ｐゴシック"/>
          <w:kern w:val="0"/>
          <w:sz w:val="20"/>
          <w:szCs w:val="20"/>
        </w:rPr>
      </w:pPr>
      <w:r w:rsidRPr="00B675DC">
        <w:rPr>
          <w:rFonts w:asciiTheme="minorEastAsia" w:hAnsiTheme="minorEastAsia" w:hint="eastAsia"/>
          <w:sz w:val="20"/>
          <w:szCs w:val="20"/>
        </w:rPr>
        <w:t>警察庁 「</w:t>
      </w:r>
      <w:r w:rsidRPr="00B675DC">
        <w:rPr>
          <w:rFonts w:asciiTheme="minorEastAsia" w:hAnsiTheme="minorEastAsia" w:hint="eastAsia"/>
          <w:noProof/>
          <w:sz w:val="20"/>
          <w:szCs w:val="20"/>
        </w:rPr>
        <w:t>第13回多重債務者対策本部有識者会議　警察庁提出資料</w:t>
      </w:r>
      <w:r w:rsidRPr="00B675DC">
        <w:rPr>
          <w:rFonts w:asciiTheme="minorEastAsia" w:hAnsiTheme="minorEastAsia" w:hint="eastAsia"/>
          <w:sz w:val="20"/>
          <w:szCs w:val="20"/>
        </w:rPr>
        <w:t>」2012年8月6日</w:t>
      </w:r>
    </w:p>
    <w:p w14:paraId="571AA116" w14:textId="77777777" w:rsidR="00B675DC" w:rsidRPr="00B675DC" w:rsidRDefault="00B675DC" w:rsidP="00B67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hAnsiTheme="minorEastAsia"/>
          <w:sz w:val="20"/>
          <w:szCs w:val="20"/>
        </w:rPr>
      </w:pPr>
      <w:r w:rsidRPr="00B675DC">
        <w:rPr>
          <w:rFonts w:asciiTheme="minorEastAsia" w:hAnsiTheme="minorEastAsia" w:hint="eastAsia"/>
          <w:sz w:val="20"/>
          <w:szCs w:val="20"/>
        </w:rPr>
        <w:tab/>
        <w:t>&lt;</w:t>
      </w:r>
      <w:r w:rsidRPr="00B675DC">
        <w:rPr>
          <w:rFonts w:asciiTheme="minorEastAsia" w:hAnsiTheme="minorEastAsia"/>
          <w:sz w:val="20"/>
          <w:szCs w:val="20"/>
        </w:rPr>
        <w:t>http://www.fsa.go.jp/singi/tajusaimu/siryou/20090519.html</w:t>
      </w:r>
      <w:r w:rsidRPr="00B675DC">
        <w:rPr>
          <w:rFonts w:asciiTheme="minorEastAsia" w:hAnsiTheme="minorEastAsia" w:hint="eastAsia"/>
          <w:sz w:val="20"/>
          <w:szCs w:val="20"/>
        </w:rPr>
        <w:t>&gt;</w:t>
      </w:r>
    </w:p>
    <w:p w14:paraId="6D684603" w14:textId="77777777" w:rsidR="00A16D92" w:rsidRDefault="00B675DC" w:rsidP="00B675DC">
      <w:pPr>
        <w:widowControl/>
        <w:rPr>
          <w:rFonts w:asciiTheme="minorEastAsia" w:hAnsiTheme="minorEastAsia"/>
          <w:sz w:val="20"/>
          <w:szCs w:val="20"/>
        </w:rPr>
      </w:pPr>
      <w:r w:rsidRPr="00B675DC">
        <w:rPr>
          <w:rFonts w:asciiTheme="minorEastAsia" w:hAnsiTheme="minorEastAsia" w:hint="eastAsia"/>
          <w:sz w:val="20"/>
          <w:szCs w:val="20"/>
        </w:rPr>
        <w:t>警察庁</w:t>
      </w:r>
      <w:r w:rsidRPr="00B675DC">
        <w:rPr>
          <w:rFonts w:asciiTheme="minorEastAsia" w:hAnsiTheme="minorEastAsia"/>
          <w:sz w:val="20"/>
          <w:szCs w:val="20"/>
        </w:rPr>
        <w:t xml:space="preserve"> </w:t>
      </w:r>
      <w:r w:rsidRPr="00B675DC">
        <w:rPr>
          <w:rFonts w:asciiTheme="minorEastAsia" w:hAnsiTheme="minorEastAsia" w:hint="eastAsia"/>
          <w:sz w:val="20"/>
          <w:szCs w:val="20"/>
        </w:rPr>
        <w:t>「平成23年中における生活経済事犯の検挙状況等について」</w:t>
      </w:r>
      <w:r w:rsidRPr="00B675DC">
        <w:rPr>
          <w:rFonts w:asciiTheme="minorEastAsia" w:hAnsiTheme="minorEastAsia" w:hint="eastAsia"/>
          <w:sz w:val="20"/>
          <w:szCs w:val="20"/>
        </w:rPr>
        <w:tab/>
        <w:t>2012年8月6日</w:t>
      </w:r>
      <w:r w:rsidRPr="00B675DC">
        <w:rPr>
          <w:rFonts w:asciiTheme="minorEastAsia" w:hAnsiTheme="minorEastAsia" w:hint="eastAsia"/>
          <w:sz w:val="20"/>
          <w:szCs w:val="20"/>
        </w:rPr>
        <w:tab/>
      </w:r>
    </w:p>
    <w:p w14:paraId="33A2A41B" w14:textId="5452CC50" w:rsidR="00B675DC" w:rsidRPr="00B675DC" w:rsidRDefault="00B675DC" w:rsidP="00A16D92">
      <w:pPr>
        <w:widowControl/>
        <w:ind w:firstLine="840"/>
        <w:rPr>
          <w:rFonts w:asciiTheme="minorEastAsia" w:hAnsiTheme="minorEastAsia"/>
          <w:sz w:val="20"/>
          <w:szCs w:val="20"/>
        </w:rPr>
      </w:pPr>
      <w:r w:rsidRPr="00B675DC">
        <w:rPr>
          <w:rFonts w:asciiTheme="minorEastAsia" w:hAnsiTheme="minorEastAsia" w:hint="eastAsia"/>
          <w:sz w:val="20"/>
          <w:szCs w:val="20"/>
        </w:rPr>
        <w:t>&lt;</w:t>
      </w:r>
      <w:r w:rsidRPr="00B675DC">
        <w:rPr>
          <w:sz w:val="20"/>
          <w:szCs w:val="20"/>
        </w:rPr>
        <w:t xml:space="preserve"> http://www.npa.go.jp/safetylife/seikan25/h23_seikeijihan.pdf</w:t>
      </w:r>
      <w:r w:rsidRPr="00B675DC">
        <w:rPr>
          <w:rFonts w:asciiTheme="minorEastAsia" w:hAnsiTheme="minorEastAsia" w:hint="eastAsia"/>
          <w:sz w:val="20"/>
          <w:szCs w:val="20"/>
        </w:rPr>
        <w:t>&gt;</w:t>
      </w:r>
    </w:p>
    <w:p w14:paraId="017E74DB" w14:textId="77777777" w:rsidR="00B675DC" w:rsidRPr="00B675DC" w:rsidRDefault="00B675DC" w:rsidP="00B67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hAnsiTheme="minorEastAsia"/>
          <w:sz w:val="20"/>
          <w:szCs w:val="20"/>
        </w:rPr>
      </w:pPr>
      <w:r w:rsidRPr="00B675DC">
        <w:rPr>
          <w:rFonts w:asciiTheme="minorEastAsia" w:hAnsiTheme="minorEastAsia" w:hint="eastAsia"/>
          <w:sz w:val="20"/>
          <w:szCs w:val="20"/>
        </w:rPr>
        <w:t>警察庁 　『平成24年　警察白書』2012年</w:t>
      </w:r>
    </w:p>
    <w:p w14:paraId="6B55AF40" w14:textId="77777777" w:rsidR="00B675DC" w:rsidRPr="00B675DC" w:rsidRDefault="00B675DC" w:rsidP="00B67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hAnsiTheme="minorEastAsia"/>
          <w:sz w:val="20"/>
          <w:szCs w:val="20"/>
        </w:rPr>
      </w:pPr>
      <w:r w:rsidRPr="00B675DC">
        <w:rPr>
          <w:rFonts w:asciiTheme="minorEastAsia" w:hAnsiTheme="minorEastAsia" w:hint="eastAsia"/>
          <w:sz w:val="20"/>
          <w:szCs w:val="20"/>
        </w:rPr>
        <w:t>堂本浩『消費者金融市場の研究』文眞堂 2005年</w:t>
      </w:r>
    </w:p>
    <w:p w14:paraId="51312535" w14:textId="77777777" w:rsidR="00B675DC" w:rsidRPr="00B675DC" w:rsidRDefault="00B675DC" w:rsidP="00B67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hAnsiTheme="minorEastAsia"/>
          <w:sz w:val="20"/>
          <w:szCs w:val="20"/>
        </w:rPr>
      </w:pPr>
      <w:r w:rsidRPr="00B675DC">
        <w:rPr>
          <w:rFonts w:asciiTheme="minorEastAsia" w:hAnsiTheme="minorEastAsia" w:hint="eastAsia"/>
          <w:sz w:val="20"/>
          <w:szCs w:val="20"/>
        </w:rPr>
        <w:t>堂本浩 『「改正貸金業法」という壮大な社会実験（上）』 「Kei」 2010年2月号</w:t>
      </w:r>
    </w:p>
    <w:p w14:paraId="656D4A7A" w14:textId="77777777" w:rsidR="00B675DC" w:rsidRPr="00B675DC" w:rsidRDefault="00B675DC" w:rsidP="00B67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hAnsiTheme="minorEastAsia"/>
          <w:sz w:val="20"/>
          <w:szCs w:val="20"/>
        </w:rPr>
      </w:pPr>
      <w:r w:rsidRPr="00B675DC">
        <w:rPr>
          <w:rFonts w:asciiTheme="minorEastAsia" w:hAnsiTheme="minorEastAsia" w:hint="eastAsia"/>
          <w:sz w:val="20"/>
          <w:szCs w:val="20"/>
        </w:rPr>
        <w:t>堂本浩 『再拡大し始めたヤミ金融市場－国民保護の視点から改正貸金業法の見直し急げ－』</w:t>
      </w:r>
    </w:p>
    <w:p w14:paraId="2CCF1D90" w14:textId="77777777" w:rsidR="00B675DC" w:rsidRPr="00B675DC" w:rsidRDefault="00B675DC" w:rsidP="00B675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hAnsiTheme="minorEastAsia"/>
          <w:sz w:val="20"/>
          <w:szCs w:val="20"/>
        </w:rPr>
      </w:pPr>
      <w:r w:rsidRPr="00B675DC">
        <w:rPr>
          <w:rFonts w:asciiTheme="minorEastAsia" w:hAnsiTheme="minorEastAsia" w:hint="eastAsia"/>
          <w:sz w:val="20"/>
          <w:szCs w:val="20"/>
        </w:rPr>
        <w:tab/>
        <w:t>「月刊公明2月号」 2011年 60-65貢</w:t>
      </w:r>
    </w:p>
    <w:p w14:paraId="20ADDEBA" w14:textId="77777777" w:rsidR="00B675DC" w:rsidRPr="00B675DC" w:rsidRDefault="00B675DC" w:rsidP="00B675DC">
      <w:pPr>
        <w:rPr>
          <w:rFonts w:asciiTheme="minorEastAsia" w:hAnsiTheme="minorEastAsia" w:cs="ＭＳ Ｐゴシック"/>
          <w:kern w:val="0"/>
          <w:sz w:val="20"/>
          <w:szCs w:val="20"/>
        </w:rPr>
      </w:pPr>
      <w:r w:rsidRPr="00B675DC">
        <w:rPr>
          <w:rFonts w:asciiTheme="minorEastAsia" w:hAnsiTheme="minorEastAsia" w:cs="ＭＳ Ｐゴシック" w:hint="eastAsia"/>
          <w:kern w:val="0"/>
          <w:sz w:val="20"/>
          <w:szCs w:val="20"/>
        </w:rPr>
        <w:t xml:space="preserve">日本貸金業協会 「月次統計資料」 </w:t>
      </w:r>
      <w:r w:rsidRPr="00B675DC">
        <w:rPr>
          <w:rFonts w:asciiTheme="minorEastAsia" w:hAnsiTheme="minorEastAsia" w:cs="ＭＳ Ｐゴシック"/>
          <w:kern w:val="0"/>
          <w:sz w:val="20"/>
          <w:szCs w:val="20"/>
        </w:rPr>
        <w:t>2012年8月7日</w:t>
      </w:r>
      <w:r w:rsidRPr="00B675DC">
        <w:rPr>
          <w:rFonts w:asciiTheme="minorEastAsia" w:hAnsiTheme="minorEastAsia" w:cs="ＭＳ Ｐゴシック" w:hint="eastAsia"/>
          <w:kern w:val="0"/>
          <w:sz w:val="20"/>
          <w:szCs w:val="20"/>
        </w:rPr>
        <w:t xml:space="preserve"> </w:t>
      </w:r>
    </w:p>
    <w:p w14:paraId="49464F00" w14:textId="77777777" w:rsidR="00B675DC" w:rsidRPr="00B675DC" w:rsidRDefault="00B675DC" w:rsidP="00B675DC">
      <w:pPr>
        <w:rPr>
          <w:rFonts w:asciiTheme="minorEastAsia" w:hAnsiTheme="minorEastAsia" w:cs="ＭＳ Ｐゴシック"/>
          <w:kern w:val="0"/>
          <w:sz w:val="20"/>
          <w:szCs w:val="20"/>
        </w:rPr>
      </w:pPr>
      <w:r w:rsidRPr="00B675DC">
        <w:rPr>
          <w:rFonts w:asciiTheme="minorEastAsia" w:hAnsiTheme="minorEastAsia" w:cs="ＭＳ Ｐゴシック" w:hint="eastAsia"/>
          <w:kern w:val="0"/>
          <w:sz w:val="20"/>
          <w:szCs w:val="20"/>
        </w:rPr>
        <w:tab/>
        <w:t>&lt;</w:t>
      </w:r>
      <w:r w:rsidRPr="00B675DC">
        <w:rPr>
          <w:rFonts w:asciiTheme="minorEastAsia" w:hAnsiTheme="minorEastAsia"/>
          <w:color w:val="000000"/>
          <w:sz w:val="20"/>
          <w:szCs w:val="20"/>
        </w:rPr>
        <w:t xml:space="preserve"> </w:t>
      </w:r>
      <w:r w:rsidRPr="00B675DC">
        <w:rPr>
          <w:rFonts w:asciiTheme="minorEastAsia" w:hAnsiTheme="minorEastAsia" w:cs="Arabic Transparent"/>
          <w:color w:val="000000"/>
          <w:sz w:val="20"/>
          <w:szCs w:val="20"/>
        </w:rPr>
        <w:t>http://www.keieiken.co.jp/j-fsa/monthly_survey/index.html</w:t>
      </w:r>
      <w:r w:rsidRPr="00B675DC">
        <w:rPr>
          <w:rFonts w:asciiTheme="minorEastAsia" w:hAnsiTheme="minorEastAsia" w:cs="Arabic Transparent"/>
          <w:sz w:val="20"/>
          <w:szCs w:val="20"/>
        </w:rPr>
        <w:t xml:space="preserve"> </w:t>
      </w:r>
      <w:r w:rsidRPr="00B675DC">
        <w:rPr>
          <w:rFonts w:asciiTheme="minorEastAsia" w:hAnsiTheme="minorEastAsia" w:cs="ＭＳ Ｐゴシック" w:hint="eastAsia"/>
          <w:kern w:val="0"/>
          <w:sz w:val="20"/>
          <w:szCs w:val="20"/>
        </w:rPr>
        <w:t>&gt;</w:t>
      </w:r>
    </w:p>
    <w:p w14:paraId="29518D24" w14:textId="77777777" w:rsidR="00B675DC" w:rsidRPr="00B675DC" w:rsidRDefault="00B675DC" w:rsidP="00B675DC">
      <w:pPr>
        <w:rPr>
          <w:rFonts w:asciiTheme="minorEastAsia" w:hAnsiTheme="minorEastAsia" w:cs="MS-Mincho"/>
          <w:kern w:val="0"/>
          <w:sz w:val="20"/>
          <w:szCs w:val="20"/>
        </w:rPr>
      </w:pPr>
      <w:r w:rsidRPr="00B675DC">
        <w:rPr>
          <w:rFonts w:asciiTheme="minorEastAsia" w:hAnsiTheme="minorEastAsia" w:cs="MS-Mincho" w:hint="eastAsia"/>
          <w:kern w:val="0"/>
          <w:sz w:val="20"/>
          <w:szCs w:val="20"/>
        </w:rPr>
        <w:t>平瀬友樹 「銀行による消費者金融サービス市場への参入についての分析」 2003年</w:t>
      </w:r>
    </w:p>
    <w:p w14:paraId="38A06543" w14:textId="77777777" w:rsidR="00B675DC" w:rsidRPr="00B675DC" w:rsidRDefault="00B675DC" w:rsidP="00B675DC">
      <w:pPr>
        <w:ind w:firstLine="840"/>
        <w:rPr>
          <w:rFonts w:asciiTheme="minorEastAsia" w:hAnsiTheme="minorEastAsia" w:cs="MS-Mincho"/>
          <w:kern w:val="0"/>
          <w:sz w:val="20"/>
          <w:szCs w:val="20"/>
        </w:rPr>
      </w:pPr>
      <w:r w:rsidRPr="00B675DC">
        <w:rPr>
          <w:rFonts w:asciiTheme="minorEastAsia" w:hAnsiTheme="minorEastAsia" w:cs="MS-Mincho" w:hint="eastAsia"/>
          <w:kern w:val="0"/>
          <w:sz w:val="20"/>
          <w:szCs w:val="20"/>
        </w:rPr>
        <w:t xml:space="preserve">京都大学経済論叢172巻第1号 </w:t>
      </w:r>
    </w:p>
    <w:p w14:paraId="7C59843E" w14:textId="77777777" w:rsidR="00B675DC" w:rsidRPr="00B675DC" w:rsidRDefault="00B675DC" w:rsidP="00B675DC">
      <w:pPr>
        <w:rPr>
          <w:rFonts w:asciiTheme="minorEastAsia" w:hAnsiTheme="minorEastAsia" w:cs="MS-Mincho"/>
          <w:kern w:val="0"/>
          <w:sz w:val="20"/>
          <w:szCs w:val="20"/>
        </w:rPr>
      </w:pPr>
      <w:r w:rsidRPr="00B675DC">
        <w:rPr>
          <w:rFonts w:asciiTheme="minorEastAsia" w:hAnsiTheme="minorEastAsia" w:cs="MS-Mincho" w:hint="eastAsia"/>
          <w:kern w:val="0"/>
          <w:sz w:val="20"/>
          <w:szCs w:val="20"/>
        </w:rPr>
        <w:t>晝間</w:t>
      </w:r>
      <w:r w:rsidRPr="00B675DC">
        <w:rPr>
          <w:rFonts w:asciiTheme="minorEastAsia" w:hAnsiTheme="minorEastAsia" w:cs="Times New Roman"/>
          <w:color w:val="010101"/>
          <w:sz w:val="20"/>
          <w:szCs w:val="20"/>
        </w:rPr>
        <w:t>文彦</w:t>
      </w:r>
      <w:r w:rsidRPr="00B675DC">
        <w:rPr>
          <w:rFonts w:asciiTheme="minorEastAsia" w:hAnsiTheme="minorEastAsia"/>
          <w:sz w:val="20"/>
          <w:szCs w:val="20"/>
        </w:rPr>
        <w:t xml:space="preserve"> </w:t>
      </w:r>
      <w:r w:rsidRPr="00B675DC">
        <w:rPr>
          <w:rFonts w:asciiTheme="minorEastAsia" w:hAnsiTheme="minorEastAsia" w:cs="MS-Mincho" w:hint="eastAsia"/>
          <w:kern w:val="0"/>
          <w:sz w:val="20"/>
          <w:szCs w:val="20"/>
        </w:rPr>
        <w:t xml:space="preserve"> 「</w:t>
      </w:r>
      <w:r w:rsidRPr="00B675DC">
        <w:rPr>
          <w:rFonts w:asciiTheme="minorEastAsia" w:hAnsiTheme="minorEastAsia" w:cs="Times New Roman"/>
          <w:color w:val="010101"/>
          <w:sz w:val="20"/>
          <w:szCs w:val="20"/>
        </w:rPr>
        <w:t>消費者金融の経済的意義</w:t>
      </w:r>
      <w:r w:rsidRPr="00B675DC">
        <w:rPr>
          <w:rFonts w:asciiTheme="minorEastAsia" w:hAnsiTheme="minorEastAsia" w:cs="MS-Mincho" w:hint="eastAsia"/>
          <w:kern w:val="0"/>
          <w:sz w:val="20"/>
          <w:szCs w:val="20"/>
        </w:rPr>
        <w:t>」 早稲田大学消費者金融サービス研究所 2001年</w:t>
      </w:r>
    </w:p>
    <w:p w14:paraId="747628B3" w14:textId="77777777" w:rsidR="00B675DC" w:rsidRPr="00B675DC" w:rsidRDefault="00B675DC" w:rsidP="00B675DC">
      <w:pPr>
        <w:rPr>
          <w:rFonts w:ascii="Tahoma" w:hAnsi="Tahoma" w:cs="Tahoma"/>
          <w:color w:val="000000"/>
          <w:sz w:val="20"/>
          <w:szCs w:val="20"/>
          <w:shd w:val="clear" w:color="auto" w:fill="FFFFFF"/>
        </w:rPr>
      </w:pPr>
      <w:r w:rsidRPr="00B675DC">
        <w:rPr>
          <w:rFonts w:hint="eastAsia"/>
          <w:sz w:val="20"/>
          <w:szCs w:val="20"/>
        </w:rPr>
        <w:t>瀬下博之「貸付市場における金利上限金利の経済分析」</w:t>
      </w:r>
      <w:r w:rsidRPr="00B675DC">
        <w:rPr>
          <w:rStyle w:val="journaltitleen"/>
          <w:rFonts w:asciiTheme="minorEastAsia" w:hAnsiTheme="minorEastAsia" w:cs="Tahoma"/>
          <w:color w:val="000000"/>
          <w:sz w:val="20"/>
          <w:szCs w:val="20"/>
          <w:shd w:val="clear" w:color="auto" w:fill="FFFFFF"/>
        </w:rPr>
        <w:t>消費者金融サービス研究学会年報</w:t>
      </w:r>
      <w:r w:rsidRPr="00B675DC">
        <w:rPr>
          <w:rStyle w:val="journaltitleen"/>
          <w:rFonts w:asciiTheme="minorEastAsia" w:hAnsiTheme="minorEastAsia" w:cs="Tahoma" w:hint="eastAsia"/>
          <w:color w:val="000000"/>
          <w:sz w:val="20"/>
          <w:szCs w:val="20"/>
          <w:shd w:val="clear" w:color="auto" w:fill="FFFFFF"/>
        </w:rPr>
        <w:t xml:space="preserve">　2005年5巻43－62頁</w:t>
      </w:r>
      <w:r w:rsidRPr="00B675DC">
        <w:rPr>
          <w:rFonts w:ascii="Tahoma" w:hAnsi="Tahoma" w:cs="Tahoma"/>
          <w:color w:val="000000"/>
          <w:sz w:val="20"/>
          <w:szCs w:val="20"/>
          <w:shd w:val="clear" w:color="auto" w:fill="FFFFFF"/>
        </w:rPr>
        <w:t> </w:t>
      </w:r>
    </w:p>
    <w:p w14:paraId="740447AC" w14:textId="77777777" w:rsidR="00B675DC" w:rsidRPr="00B675DC" w:rsidRDefault="00B675DC" w:rsidP="00B675DC">
      <w:pPr>
        <w:rPr>
          <w:sz w:val="20"/>
          <w:szCs w:val="20"/>
        </w:rPr>
      </w:pPr>
      <w:r w:rsidRPr="00B675DC">
        <w:rPr>
          <w:rFonts w:ascii="Tahoma" w:hAnsi="Tahoma" w:cs="Tahoma" w:hint="eastAsia"/>
          <w:color w:val="000000"/>
          <w:sz w:val="20"/>
          <w:szCs w:val="20"/>
          <w:shd w:val="clear" w:color="auto" w:fill="FFFFFF"/>
        </w:rPr>
        <w:t>前田真一郎　「貸金業と銀行業</w:t>
      </w:r>
      <w:r w:rsidRPr="00B675DC">
        <w:rPr>
          <w:rFonts w:ascii="Tahoma" w:hAnsi="Tahoma" w:cs="Tahoma"/>
          <w:color w:val="000000"/>
          <w:sz w:val="20"/>
          <w:szCs w:val="20"/>
          <w:shd w:val="clear" w:color="auto" w:fill="FFFFFF"/>
        </w:rPr>
        <w:t>-</w:t>
      </w:r>
      <w:r w:rsidRPr="00B675DC">
        <w:rPr>
          <w:rFonts w:ascii="Tahoma" w:hAnsi="Tahoma" w:cs="Tahoma" w:hint="eastAsia"/>
          <w:color w:val="000000"/>
          <w:sz w:val="20"/>
          <w:szCs w:val="20"/>
          <w:shd w:val="clear" w:color="auto" w:fill="FFFFFF"/>
        </w:rPr>
        <w:t>銀行と消費者金融会社の提携」名城論叢　２００８年６月　１５−３９</w:t>
      </w:r>
      <w:r w:rsidRPr="00B675DC">
        <w:rPr>
          <w:rStyle w:val="journaltitleen"/>
          <w:rFonts w:asciiTheme="minorEastAsia" w:hAnsiTheme="minorEastAsia" w:cs="Tahoma" w:hint="eastAsia"/>
          <w:color w:val="000000"/>
          <w:sz w:val="20"/>
          <w:szCs w:val="20"/>
          <w:shd w:val="clear" w:color="auto" w:fill="FFFFFF"/>
        </w:rPr>
        <w:t>頁</w:t>
      </w:r>
    </w:p>
    <w:p w14:paraId="633E7A02" w14:textId="77777777" w:rsidR="00B675DC" w:rsidRPr="00B675DC" w:rsidRDefault="00B675DC" w:rsidP="00B675DC">
      <w:pPr>
        <w:rPr>
          <w:rStyle w:val="journaltitleen"/>
          <w:rFonts w:asciiTheme="minorEastAsia" w:hAnsiTheme="minorEastAsia" w:cs="Tahoma"/>
          <w:color w:val="000000"/>
          <w:sz w:val="20"/>
          <w:szCs w:val="20"/>
          <w:shd w:val="clear" w:color="auto" w:fill="FFFFFF"/>
        </w:rPr>
      </w:pPr>
      <w:r w:rsidRPr="00B675DC">
        <w:rPr>
          <w:rFonts w:hint="eastAsia"/>
          <w:sz w:val="20"/>
          <w:szCs w:val="20"/>
        </w:rPr>
        <w:t>森直哉　「消費者金融市場における金利の在り方」</w:t>
      </w:r>
      <w:r w:rsidRPr="00B675DC">
        <w:rPr>
          <w:rStyle w:val="journaltitleen"/>
          <w:rFonts w:asciiTheme="minorEastAsia" w:hAnsiTheme="minorEastAsia" w:cs="Tahoma"/>
          <w:color w:val="000000"/>
          <w:sz w:val="20"/>
          <w:szCs w:val="20"/>
          <w:shd w:val="clear" w:color="auto" w:fill="FFFFFF"/>
        </w:rPr>
        <w:t>消費者金融サービス研究学会年報</w:t>
      </w:r>
      <w:r w:rsidRPr="00B675DC">
        <w:rPr>
          <w:rStyle w:val="journaltitleen"/>
          <w:rFonts w:asciiTheme="minorEastAsia" w:hAnsiTheme="minorEastAsia" w:cs="Tahoma" w:hint="eastAsia"/>
          <w:color w:val="000000"/>
          <w:sz w:val="20"/>
          <w:szCs w:val="20"/>
          <w:shd w:val="clear" w:color="auto" w:fill="FFFFFF"/>
        </w:rPr>
        <w:t>、2006</w:t>
      </w:r>
    </w:p>
    <w:p w14:paraId="6EDB878C" w14:textId="77777777" w:rsidR="00B675DC" w:rsidRPr="00B675DC" w:rsidRDefault="00B675DC" w:rsidP="00B675DC">
      <w:pPr>
        <w:ind w:firstLine="840"/>
        <w:rPr>
          <w:sz w:val="20"/>
          <w:szCs w:val="20"/>
        </w:rPr>
      </w:pPr>
      <w:r w:rsidRPr="00B675DC">
        <w:rPr>
          <w:rStyle w:val="journaltitleen"/>
          <w:rFonts w:asciiTheme="minorEastAsia" w:hAnsiTheme="minorEastAsia" w:cs="Tahoma" w:hint="eastAsia"/>
          <w:color w:val="000000"/>
          <w:sz w:val="20"/>
          <w:szCs w:val="20"/>
          <w:shd w:val="clear" w:color="auto" w:fill="FFFFFF"/>
        </w:rPr>
        <w:t>年7巻37－49頁</w:t>
      </w:r>
      <w:r w:rsidRPr="00B675DC">
        <w:rPr>
          <w:rFonts w:ascii="Tahoma" w:hAnsi="Tahoma" w:cs="Tahoma"/>
          <w:color w:val="000000"/>
          <w:sz w:val="20"/>
          <w:szCs w:val="20"/>
          <w:shd w:val="clear" w:color="auto" w:fill="FFFFFF"/>
        </w:rPr>
        <w:t> </w:t>
      </w:r>
    </w:p>
    <w:p w14:paraId="76EC0A7B" w14:textId="77777777" w:rsidR="00B675DC" w:rsidRPr="00B675DC" w:rsidRDefault="00B675DC" w:rsidP="00B675DC">
      <w:pPr>
        <w:rPr>
          <w:sz w:val="20"/>
          <w:szCs w:val="20"/>
        </w:rPr>
      </w:pPr>
      <w:r w:rsidRPr="00B675DC">
        <w:rPr>
          <w:rFonts w:hint="eastAsia"/>
          <w:sz w:val="20"/>
          <w:szCs w:val="20"/>
        </w:rPr>
        <w:t>日本クレジット協会『日本の消費者信用統計　平成</w:t>
      </w:r>
      <w:r w:rsidRPr="00B675DC">
        <w:rPr>
          <w:rFonts w:hint="eastAsia"/>
          <w:sz w:val="20"/>
          <w:szCs w:val="20"/>
        </w:rPr>
        <w:t>24</w:t>
      </w:r>
      <w:r w:rsidRPr="00B675DC">
        <w:rPr>
          <w:rFonts w:hint="eastAsia"/>
          <w:sz w:val="20"/>
          <w:szCs w:val="20"/>
        </w:rPr>
        <w:t>年版』</w:t>
      </w:r>
      <w:r w:rsidRPr="00B675DC">
        <w:rPr>
          <w:rFonts w:hint="eastAsia"/>
          <w:sz w:val="20"/>
          <w:szCs w:val="20"/>
        </w:rPr>
        <w:t>2012</w:t>
      </w:r>
      <w:r w:rsidRPr="00B675DC">
        <w:rPr>
          <w:rFonts w:hint="eastAsia"/>
          <w:sz w:val="20"/>
          <w:szCs w:val="20"/>
        </w:rPr>
        <w:t>年</w:t>
      </w:r>
    </w:p>
    <w:p w14:paraId="585AFE01" w14:textId="77777777" w:rsidR="00B675DC" w:rsidRPr="00B675DC" w:rsidRDefault="00B675DC" w:rsidP="00B675DC">
      <w:pPr>
        <w:rPr>
          <w:sz w:val="20"/>
          <w:szCs w:val="20"/>
        </w:rPr>
      </w:pPr>
      <w:r w:rsidRPr="00B675DC">
        <w:rPr>
          <w:rFonts w:hint="eastAsia"/>
          <w:sz w:val="20"/>
          <w:szCs w:val="20"/>
        </w:rPr>
        <w:t>蛯谷敏「消える消費者金融」日経ビジネス、</w:t>
      </w:r>
      <w:r w:rsidRPr="00B675DC">
        <w:rPr>
          <w:rFonts w:hint="eastAsia"/>
          <w:sz w:val="20"/>
          <w:szCs w:val="20"/>
        </w:rPr>
        <w:t>2010</w:t>
      </w:r>
      <w:r w:rsidRPr="00B675DC">
        <w:rPr>
          <w:rFonts w:hint="eastAsia"/>
          <w:sz w:val="20"/>
          <w:szCs w:val="20"/>
        </w:rPr>
        <w:t>年</w:t>
      </w:r>
      <w:r w:rsidRPr="00B675DC">
        <w:rPr>
          <w:rFonts w:hint="eastAsia"/>
          <w:sz w:val="20"/>
          <w:szCs w:val="20"/>
        </w:rPr>
        <w:t>1534</w:t>
      </w:r>
      <w:r w:rsidRPr="00B675DC">
        <w:rPr>
          <w:rFonts w:hint="eastAsia"/>
          <w:sz w:val="20"/>
          <w:szCs w:val="20"/>
        </w:rPr>
        <w:t>号</w:t>
      </w:r>
      <w:r w:rsidRPr="00B675DC">
        <w:rPr>
          <w:rFonts w:hint="eastAsia"/>
          <w:sz w:val="20"/>
          <w:szCs w:val="20"/>
        </w:rPr>
        <w:t>40</w:t>
      </w:r>
      <w:r w:rsidRPr="00B675DC">
        <w:rPr>
          <w:rFonts w:hint="eastAsia"/>
          <w:sz w:val="20"/>
          <w:szCs w:val="20"/>
        </w:rPr>
        <w:t>－</w:t>
      </w:r>
      <w:r w:rsidRPr="00B675DC">
        <w:rPr>
          <w:rFonts w:hint="eastAsia"/>
          <w:sz w:val="20"/>
          <w:szCs w:val="20"/>
        </w:rPr>
        <w:t>43</w:t>
      </w:r>
      <w:r w:rsidRPr="00B675DC">
        <w:rPr>
          <w:rFonts w:hint="eastAsia"/>
          <w:sz w:val="20"/>
          <w:szCs w:val="20"/>
        </w:rPr>
        <w:t>頁</w:t>
      </w:r>
    </w:p>
    <w:p w14:paraId="35CF46CD" w14:textId="77777777" w:rsidR="00B675DC" w:rsidRPr="00B675DC" w:rsidRDefault="00B675DC" w:rsidP="00B675DC">
      <w:pPr>
        <w:rPr>
          <w:sz w:val="20"/>
          <w:szCs w:val="20"/>
        </w:rPr>
      </w:pPr>
      <w:r w:rsidRPr="00B675DC">
        <w:rPr>
          <w:rFonts w:hint="eastAsia"/>
          <w:sz w:val="20"/>
          <w:szCs w:val="20"/>
        </w:rPr>
        <w:t>楽天リサーチ「消費者金融会社に関する調査」</w:t>
      </w:r>
      <w:r w:rsidRPr="00B675DC">
        <w:rPr>
          <w:rFonts w:hint="eastAsia"/>
          <w:sz w:val="20"/>
          <w:szCs w:val="20"/>
        </w:rPr>
        <w:t>2011</w:t>
      </w:r>
      <w:r w:rsidRPr="00B675DC">
        <w:rPr>
          <w:rFonts w:hint="eastAsia"/>
          <w:sz w:val="20"/>
          <w:szCs w:val="20"/>
        </w:rPr>
        <w:t>年</w:t>
      </w:r>
      <w:r w:rsidRPr="00B675DC">
        <w:rPr>
          <w:rFonts w:hint="eastAsia"/>
          <w:sz w:val="20"/>
          <w:szCs w:val="20"/>
        </w:rPr>
        <w:t>11</w:t>
      </w:r>
      <w:r w:rsidRPr="00B675DC">
        <w:rPr>
          <w:rFonts w:hint="eastAsia"/>
          <w:sz w:val="20"/>
          <w:szCs w:val="20"/>
        </w:rPr>
        <w:t>月</w:t>
      </w:r>
    </w:p>
    <w:p w14:paraId="6BDC0987" w14:textId="77777777" w:rsidR="00B675DC" w:rsidRPr="00B675DC" w:rsidRDefault="00B675DC" w:rsidP="00B675DC">
      <w:pPr>
        <w:widowControl/>
        <w:rPr>
          <w:rFonts w:asciiTheme="minorEastAsia" w:hAnsiTheme="minorEastAsia"/>
          <w:sz w:val="20"/>
          <w:szCs w:val="20"/>
        </w:rPr>
      </w:pPr>
      <w:r w:rsidRPr="00B675DC">
        <w:rPr>
          <w:rFonts w:asciiTheme="minorEastAsia" w:hAnsiTheme="minorEastAsia" w:hint="eastAsia"/>
          <w:sz w:val="20"/>
          <w:szCs w:val="20"/>
        </w:rPr>
        <w:t xml:space="preserve">早稲田大学消費者金融サービス研究所 </w:t>
      </w:r>
    </w:p>
    <w:p w14:paraId="73665ED3" w14:textId="77777777" w:rsidR="00B675DC" w:rsidRPr="00B675DC" w:rsidRDefault="00B675DC" w:rsidP="00B675DC">
      <w:pPr>
        <w:widowControl/>
        <w:ind w:left="840"/>
        <w:rPr>
          <w:rFonts w:asciiTheme="minorEastAsia" w:hAnsiTheme="minorEastAsia" w:cs="ＭＳ Ｐゴシック"/>
          <w:kern w:val="0"/>
          <w:sz w:val="20"/>
          <w:szCs w:val="20"/>
        </w:rPr>
      </w:pPr>
      <w:r w:rsidRPr="00B675DC">
        <w:rPr>
          <w:rFonts w:asciiTheme="minorEastAsia" w:hAnsiTheme="minorEastAsia" w:hint="eastAsia"/>
          <w:sz w:val="20"/>
          <w:szCs w:val="20"/>
        </w:rPr>
        <w:t>『違法金融の実態－ヤミ金相談サイトのテキスト分析－』 早稲田大学消費者金融サービス研究所ワーキングペーパー 2011年</w:t>
      </w:r>
    </w:p>
    <w:p w14:paraId="3D44FE1A" w14:textId="77777777" w:rsidR="00B675DC" w:rsidRDefault="00B675DC" w:rsidP="00961B4B">
      <w:pPr>
        <w:pStyle w:val="11"/>
      </w:pPr>
    </w:p>
    <w:p w14:paraId="20F2CBF5" w14:textId="77777777" w:rsidR="00B675DC" w:rsidRDefault="00B675DC" w:rsidP="00B675DC"/>
    <w:p w14:paraId="02A1842A" w14:textId="77777777" w:rsidR="00B675DC" w:rsidRDefault="00B675DC" w:rsidP="00B675DC"/>
    <w:p w14:paraId="00DDDD92" w14:textId="3991D680" w:rsidR="00B675DC" w:rsidRPr="00B675DC" w:rsidRDefault="00B675DC" w:rsidP="00B675DC">
      <w:pPr>
        <w:pStyle w:val="2"/>
      </w:pPr>
      <w:r>
        <w:rPr>
          <w:rFonts w:hint="eastAsia"/>
        </w:rPr>
        <w:lastRenderedPageBreak/>
        <w:t>参考資料</w:t>
      </w:r>
    </w:p>
    <w:p w14:paraId="5A89CAC8" w14:textId="6056EC19" w:rsidR="00B675DC" w:rsidRPr="001E13D6" w:rsidRDefault="00DE3C6B" w:rsidP="00B675DC">
      <w:pPr>
        <w:jc w:val="center"/>
        <w:rPr>
          <w:szCs w:val="21"/>
        </w:rPr>
      </w:pPr>
      <w:r>
        <w:rPr>
          <w:rFonts w:hint="eastAsia"/>
          <w:szCs w:val="21"/>
        </w:rPr>
        <w:t>図</w:t>
      </w:r>
      <w:r w:rsidR="009720F6">
        <w:rPr>
          <w:rFonts w:hint="eastAsia"/>
          <w:szCs w:val="21"/>
        </w:rPr>
        <w:t>2</w:t>
      </w:r>
      <w:r>
        <w:rPr>
          <w:rFonts w:hint="eastAsia"/>
          <w:szCs w:val="21"/>
        </w:rPr>
        <w:t>-1</w:t>
      </w:r>
    </w:p>
    <w:p w14:paraId="733542F4" w14:textId="77777777" w:rsidR="00B675DC" w:rsidRPr="001E13D6" w:rsidRDefault="00B675DC" w:rsidP="00DE3C6B">
      <w:pPr>
        <w:ind w:leftChars="-202" w:left="-424"/>
        <w:jc w:val="center"/>
        <w:rPr>
          <w:szCs w:val="21"/>
        </w:rPr>
      </w:pPr>
      <w:r w:rsidRPr="001E13D6">
        <w:rPr>
          <w:noProof/>
          <w:szCs w:val="21"/>
        </w:rPr>
        <w:drawing>
          <wp:inline distT="0" distB="0" distL="0" distR="0" wp14:anchorId="1A896113" wp14:editId="6022338B">
            <wp:extent cx="5868035" cy="3150235"/>
            <wp:effectExtent l="0" t="0" r="24765" b="2476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569050" w14:textId="77777777" w:rsidR="00B675DC" w:rsidRPr="009720F6" w:rsidRDefault="00B675DC" w:rsidP="00B675DC">
      <w:pPr>
        <w:jc w:val="center"/>
        <w:rPr>
          <w:sz w:val="18"/>
          <w:szCs w:val="18"/>
        </w:rPr>
      </w:pPr>
      <w:r w:rsidRPr="009720F6">
        <w:rPr>
          <w:rFonts w:hint="eastAsia"/>
          <w:sz w:val="18"/>
          <w:szCs w:val="18"/>
        </w:rPr>
        <w:t>出典）平成２４年度「日本の消費者信用統計」及び大手５社の有価証券報告書より作成</w:t>
      </w:r>
    </w:p>
    <w:p w14:paraId="5CEB28B3" w14:textId="3C14A003" w:rsidR="00B675DC" w:rsidRPr="009720F6" w:rsidRDefault="00DE3C6B" w:rsidP="00B675DC">
      <w:pPr>
        <w:jc w:val="center"/>
        <w:rPr>
          <w:sz w:val="18"/>
          <w:szCs w:val="18"/>
        </w:rPr>
      </w:pPr>
      <w:r w:rsidRPr="009720F6">
        <w:rPr>
          <w:rFonts w:hint="eastAsia"/>
          <w:sz w:val="18"/>
          <w:szCs w:val="18"/>
        </w:rPr>
        <w:t>注意）</w:t>
      </w:r>
      <w:r w:rsidR="00B675DC" w:rsidRPr="009720F6">
        <w:rPr>
          <w:sz w:val="18"/>
          <w:szCs w:val="18"/>
        </w:rPr>
        <w:t>2010</w:t>
      </w:r>
      <w:r w:rsidR="00B675DC" w:rsidRPr="009720F6">
        <w:rPr>
          <w:rFonts w:hint="eastAsia"/>
          <w:sz w:val="18"/>
          <w:szCs w:val="18"/>
        </w:rPr>
        <w:t>年以降はアイフル、アコム、プロミスの３社のデータ</w:t>
      </w:r>
    </w:p>
    <w:p w14:paraId="7E4B6941" w14:textId="4A5507AF" w:rsidR="00DE3C6B" w:rsidRPr="009720F6" w:rsidRDefault="00DE3C6B" w:rsidP="00B675DC">
      <w:pPr>
        <w:jc w:val="center"/>
        <w:rPr>
          <w:sz w:val="18"/>
          <w:szCs w:val="18"/>
        </w:rPr>
      </w:pPr>
      <w:r w:rsidRPr="009720F6">
        <w:rPr>
          <w:rFonts w:hint="eastAsia"/>
          <w:sz w:val="18"/>
          <w:szCs w:val="18"/>
        </w:rPr>
        <w:t>大手５社以外は</w:t>
      </w:r>
      <w:r w:rsidRPr="009720F6">
        <w:rPr>
          <w:sz w:val="18"/>
          <w:szCs w:val="18"/>
        </w:rPr>
        <w:t>2010</w:t>
      </w:r>
      <w:r w:rsidRPr="009720F6">
        <w:rPr>
          <w:rFonts w:hint="eastAsia"/>
          <w:sz w:val="18"/>
          <w:szCs w:val="18"/>
        </w:rPr>
        <w:t>年度までのデータ</w:t>
      </w:r>
    </w:p>
    <w:p w14:paraId="44853A7C" w14:textId="506A180C" w:rsidR="00B675DC" w:rsidRPr="001E13D6" w:rsidRDefault="00B675DC" w:rsidP="00B675DC">
      <w:pPr>
        <w:jc w:val="center"/>
        <w:rPr>
          <w:szCs w:val="21"/>
        </w:rPr>
      </w:pPr>
      <w:r w:rsidRPr="001E13D6">
        <w:rPr>
          <w:rFonts w:hint="eastAsia"/>
          <w:szCs w:val="21"/>
        </w:rPr>
        <w:t>図</w:t>
      </w:r>
      <w:r w:rsidR="009720F6">
        <w:rPr>
          <w:szCs w:val="21"/>
        </w:rPr>
        <w:t>2</w:t>
      </w:r>
      <w:r w:rsidRPr="001E13D6">
        <w:rPr>
          <w:szCs w:val="21"/>
        </w:rPr>
        <w:t>-</w:t>
      </w:r>
      <w:r w:rsidRPr="001E13D6">
        <w:rPr>
          <w:rFonts w:hint="eastAsia"/>
          <w:szCs w:val="21"/>
        </w:rPr>
        <w:t>２</w:t>
      </w:r>
    </w:p>
    <w:p w14:paraId="4621909F" w14:textId="77777777" w:rsidR="00B675DC" w:rsidRPr="001E13D6" w:rsidRDefault="00B675DC" w:rsidP="00B675DC">
      <w:pPr>
        <w:rPr>
          <w:szCs w:val="21"/>
        </w:rPr>
      </w:pPr>
      <w:r w:rsidRPr="001E13D6">
        <w:rPr>
          <w:noProof/>
          <w:szCs w:val="21"/>
        </w:rPr>
        <w:drawing>
          <wp:inline distT="0" distB="0" distL="0" distR="0" wp14:anchorId="604B3CAD" wp14:editId="77C7FC0F">
            <wp:extent cx="5489575" cy="3328035"/>
            <wp:effectExtent l="0" t="0" r="22225" b="2476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B5FAFB" w14:textId="77777777" w:rsidR="00B675DC" w:rsidRPr="001E13D6" w:rsidRDefault="00B675DC" w:rsidP="00B675DC">
      <w:pPr>
        <w:jc w:val="center"/>
        <w:rPr>
          <w:szCs w:val="21"/>
        </w:rPr>
      </w:pPr>
      <w:r w:rsidRPr="001E13D6">
        <w:rPr>
          <w:rFonts w:hint="eastAsia"/>
          <w:szCs w:val="21"/>
        </w:rPr>
        <w:t>出典）平成２４年度「日本の消費者信用統計」及び大手５社の有価証券報告書より作成</w:t>
      </w:r>
    </w:p>
    <w:p w14:paraId="306A3325" w14:textId="77777777" w:rsidR="00B675DC" w:rsidRPr="001E13D6" w:rsidRDefault="00B675DC" w:rsidP="00B675DC">
      <w:pPr>
        <w:jc w:val="center"/>
        <w:rPr>
          <w:szCs w:val="21"/>
        </w:rPr>
      </w:pPr>
      <w:r>
        <w:rPr>
          <w:szCs w:val="21"/>
        </w:rPr>
        <w:lastRenderedPageBreak/>
        <w:t>2</w:t>
      </w:r>
      <w:r w:rsidRPr="001E13D6">
        <w:rPr>
          <w:szCs w:val="21"/>
        </w:rPr>
        <w:t>010</w:t>
      </w:r>
      <w:r w:rsidRPr="001E13D6">
        <w:rPr>
          <w:rFonts w:hint="eastAsia"/>
          <w:szCs w:val="21"/>
        </w:rPr>
        <w:t>年以降はアイフル、アコム、プロミスの３社のデータ</w:t>
      </w:r>
    </w:p>
    <w:p w14:paraId="7538E29D" w14:textId="793B2847" w:rsidR="00B675DC" w:rsidRPr="001E13D6" w:rsidRDefault="00B675DC" w:rsidP="00B675DC">
      <w:pPr>
        <w:jc w:val="center"/>
        <w:rPr>
          <w:szCs w:val="21"/>
        </w:rPr>
      </w:pPr>
      <w:r w:rsidRPr="001E13D6">
        <w:rPr>
          <w:rFonts w:hint="eastAsia"/>
          <w:szCs w:val="21"/>
        </w:rPr>
        <w:t>図</w:t>
      </w:r>
      <w:r w:rsidR="009720F6">
        <w:rPr>
          <w:szCs w:val="21"/>
        </w:rPr>
        <w:t>2</w:t>
      </w:r>
      <w:r w:rsidRPr="001E13D6">
        <w:rPr>
          <w:szCs w:val="21"/>
        </w:rPr>
        <w:t>-3</w:t>
      </w:r>
    </w:p>
    <w:p w14:paraId="225A8883" w14:textId="698106CB" w:rsidR="00B675DC" w:rsidRPr="001E13D6" w:rsidRDefault="00C05B0B" w:rsidP="00DE3C6B">
      <w:pPr>
        <w:ind w:leftChars="67" w:left="141"/>
        <w:rPr>
          <w:szCs w:val="21"/>
        </w:rPr>
      </w:pPr>
      <w:r w:rsidRPr="001E13D6">
        <w:rPr>
          <w:noProof/>
          <w:szCs w:val="21"/>
        </w:rPr>
        <w:drawing>
          <wp:inline distT="0" distB="0" distL="0" distR="0" wp14:anchorId="15EE83C6" wp14:editId="091399A8">
            <wp:extent cx="5760085" cy="3929931"/>
            <wp:effectExtent l="0" t="0" r="31115" b="3302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33DD97" w14:textId="77777777" w:rsidR="00B675DC" w:rsidRPr="001E13D6" w:rsidRDefault="00B675DC" w:rsidP="00DE3C6B">
      <w:pPr>
        <w:ind w:leftChars="236" w:left="496"/>
        <w:jc w:val="center"/>
        <w:rPr>
          <w:szCs w:val="21"/>
        </w:rPr>
      </w:pPr>
      <w:r w:rsidRPr="001E13D6">
        <w:rPr>
          <w:rFonts w:hint="eastAsia"/>
          <w:szCs w:val="21"/>
        </w:rPr>
        <w:t>出典）大手５社の有価証券報告書より作成</w:t>
      </w:r>
    </w:p>
    <w:p w14:paraId="0EC88EB9" w14:textId="77777777" w:rsidR="00B675DC" w:rsidRPr="001E13D6" w:rsidRDefault="00B675DC" w:rsidP="00DE3C6B">
      <w:pPr>
        <w:ind w:leftChars="236" w:left="496"/>
        <w:jc w:val="center"/>
        <w:rPr>
          <w:szCs w:val="21"/>
        </w:rPr>
      </w:pPr>
      <w:r w:rsidRPr="001E13D6">
        <w:rPr>
          <w:rFonts w:hint="eastAsia"/>
          <w:szCs w:val="21"/>
        </w:rPr>
        <w:t>注）</w:t>
      </w:r>
      <w:r w:rsidRPr="001E13D6">
        <w:rPr>
          <w:szCs w:val="21"/>
        </w:rPr>
        <w:t>1998</w:t>
      </w:r>
      <w:r w:rsidRPr="001E13D6">
        <w:rPr>
          <w:rFonts w:hint="eastAsia"/>
          <w:szCs w:val="21"/>
        </w:rPr>
        <w:t>年</w:t>
      </w:r>
      <w:r w:rsidRPr="001E13D6">
        <w:rPr>
          <w:szCs w:val="21"/>
        </w:rPr>
        <w:t>9</w:t>
      </w:r>
      <w:r w:rsidRPr="001E13D6">
        <w:rPr>
          <w:rFonts w:hint="eastAsia"/>
          <w:szCs w:val="21"/>
        </w:rPr>
        <w:t>月〜</w:t>
      </w:r>
      <w:r w:rsidRPr="001E13D6">
        <w:rPr>
          <w:szCs w:val="21"/>
        </w:rPr>
        <w:t>2012</w:t>
      </w:r>
      <w:r w:rsidRPr="001E13D6">
        <w:rPr>
          <w:rFonts w:hint="eastAsia"/>
          <w:szCs w:val="21"/>
        </w:rPr>
        <w:t>年</w:t>
      </w:r>
      <w:r w:rsidRPr="001E13D6">
        <w:rPr>
          <w:szCs w:val="21"/>
        </w:rPr>
        <w:t>9</w:t>
      </w:r>
      <w:r w:rsidRPr="001E13D6">
        <w:rPr>
          <w:rFonts w:hint="eastAsia"/>
          <w:szCs w:val="21"/>
        </w:rPr>
        <w:t>月までの半期データ</w:t>
      </w:r>
    </w:p>
    <w:p w14:paraId="3F1810C5" w14:textId="232C8619" w:rsidR="00B675DC" w:rsidRPr="001E13D6" w:rsidRDefault="00B675DC" w:rsidP="00DE3C6B">
      <w:pPr>
        <w:ind w:leftChars="236" w:left="496"/>
        <w:jc w:val="center"/>
        <w:rPr>
          <w:szCs w:val="21"/>
        </w:rPr>
      </w:pPr>
      <w:r w:rsidRPr="001E13D6">
        <w:rPr>
          <w:szCs w:val="21"/>
        </w:rPr>
        <w:t>2010</w:t>
      </w:r>
      <w:r w:rsidRPr="001E13D6">
        <w:rPr>
          <w:rFonts w:hint="eastAsia"/>
          <w:szCs w:val="21"/>
        </w:rPr>
        <w:t>年</w:t>
      </w:r>
      <w:r w:rsidRPr="001E13D6">
        <w:rPr>
          <w:szCs w:val="21"/>
        </w:rPr>
        <w:t>9</w:t>
      </w:r>
      <w:r w:rsidRPr="001E13D6">
        <w:rPr>
          <w:rFonts w:hint="eastAsia"/>
          <w:szCs w:val="21"/>
        </w:rPr>
        <w:t>月以降はアイフル、アコム、プロミスの３社のデータ</w:t>
      </w:r>
    </w:p>
    <w:p w14:paraId="19482CEF" w14:textId="77777777" w:rsidR="00B675DC" w:rsidRPr="001E13D6" w:rsidRDefault="00B675DC" w:rsidP="00B675DC">
      <w:pPr>
        <w:ind w:leftChars="236" w:left="496"/>
        <w:jc w:val="center"/>
        <w:rPr>
          <w:szCs w:val="21"/>
        </w:rPr>
      </w:pPr>
      <w:r w:rsidRPr="001E13D6">
        <w:rPr>
          <w:rFonts w:hint="eastAsia"/>
          <w:szCs w:val="21"/>
        </w:rPr>
        <w:t>図</w:t>
      </w:r>
      <w:r>
        <w:rPr>
          <w:szCs w:val="21"/>
        </w:rPr>
        <w:t>3-1</w:t>
      </w:r>
    </w:p>
    <w:p w14:paraId="00F09EBA" w14:textId="77777777" w:rsidR="00B675DC" w:rsidRPr="001E13D6" w:rsidRDefault="00B675DC" w:rsidP="00B675DC">
      <w:pPr>
        <w:jc w:val="center"/>
        <w:rPr>
          <w:szCs w:val="21"/>
        </w:rPr>
      </w:pPr>
      <w:r w:rsidRPr="001E13D6">
        <w:rPr>
          <w:noProof/>
          <w:szCs w:val="21"/>
        </w:rPr>
        <w:drawing>
          <wp:inline distT="0" distB="0" distL="0" distR="0" wp14:anchorId="0DFD2878" wp14:editId="4E2483D3">
            <wp:extent cx="2249170" cy="209515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8392" cy="2094427"/>
                    </a:xfrm>
                    <a:prstGeom prst="rect">
                      <a:avLst/>
                    </a:prstGeom>
                    <a:noFill/>
                    <a:ln>
                      <a:noFill/>
                    </a:ln>
                  </pic:spPr>
                </pic:pic>
              </a:graphicData>
            </a:graphic>
          </wp:inline>
        </w:drawing>
      </w:r>
    </w:p>
    <w:p w14:paraId="2A05E724" w14:textId="52CAD4D7" w:rsidR="00B675DC" w:rsidRPr="00B675DC" w:rsidRDefault="00B675DC" w:rsidP="00B675DC">
      <w:pPr>
        <w:pStyle w:val="a5"/>
        <w:ind w:leftChars="0" w:left="360"/>
        <w:jc w:val="center"/>
        <w:rPr>
          <w:szCs w:val="21"/>
        </w:rPr>
      </w:pPr>
      <w:r w:rsidRPr="00B675DC">
        <w:rPr>
          <w:rFonts w:hint="eastAsia"/>
          <w:szCs w:val="21"/>
        </w:rPr>
        <w:t>独占（寡占）市場における上限金利規制</w:t>
      </w:r>
    </w:p>
    <w:p w14:paraId="3F8111F1" w14:textId="77777777" w:rsidR="00B675DC" w:rsidRPr="001E13D6" w:rsidRDefault="00B675DC" w:rsidP="00B675DC">
      <w:pPr>
        <w:rPr>
          <w:szCs w:val="21"/>
        </w:rPr>
      </w:pPr>
      <w:r w:rsidRPr="001E13D6">
        <w:rPr>
          <w:rFonts w:hint="eastAsia"/>
          <w:szCs w:val="21"/>
        </w:rPr>
        <w:t>（</w:t>
      </w:r>
      <w:r w:rsidRPr="001E13D6">
        <w:rPr>
          <w:rFonts w:hint="eastAsia"/>
          <w:szCs w:val="21"/>
        </w:rPr>
        <w:t>R:</w:t>
      </w:r>
      <w:r w:rsidRPr="001E13D6">
        <w:rPr>
          <w:rFonts w:hint="eastAsia"/>
          <w:szCs w:val="21"/>
        </w:rPr>
        <w:t>金利</w:t>
      </w:r>
      <w:r w:rsidRPr="001E13D6">
        <w:rPr>
          <w:rFonts w:hint="eastAsia"/>
          <w:szCs w:val="21"/>
        </w:rPr>
        <w:t>,</w:t>
      </w:r>
      <m:oMath>
        <m:r>
          <m:rPr>
            <m:sty m:val="p"/>
          </m:rPr>
          <w:rPr>
            <w:rFonts w:ascii="Cambria Math" w:hAnsi="Cambria Math"/>
            <w:szCs w:val="21"/>
          </w:rPr>
          <m:t xml:space="preserve"> </m:t>
        </m:r>
        <m:sSub>
          <m:sSubPr>
            <m:ctrlPr>
              <w:rPr>
                <w:rFonts w:ascii="Cambria Math" w:hAnsi="Cambria Math"/>
                <w:szCs w:val="21"/>
              </w:rPr>
            </m:ctrlPr>
          </m:sSubPr>
          <m:e>
            <m:r>
              <w:rPr>
                <w:rFonts w:ascii="Cambria Math" w:hAnsi="Cambria Math"/>
                <w:szCs w:val="21"/>
              </w:rPr>
              <m:t>r</m:t>
            </m:r>
          </m:e>
          <m:sub>
            <m:r>
              <w:rPr>
                <w:rFonts w:ascii="Cambria Math" w:hAnsi="Cambria Math"/>
                <w:szCs w:val="21"/>
              </w:rPr>
              <m:t>1</m:t>
            </m:r>
          </m:sub>
        </m:sSub>
      </m:oMath>
      <w:r w:rsidRPr="001E13D6">
        <w:rPr>
          <w:rFonts w:hint="eastAsia"/>
          <w:szCs w:val="21"/>
        </w:rPr>
        <w:t>:</w:t>
      </w:r>
      <w:r w:rsidRPr="001E13D6">
        <w:rPr>
          <w:rFonts w:hint="eastAsia"/>
          <w:szCs w:val="21"/>
        </w:rPr>
        <w:t>独占（寡占）市場における金利、</w:t>
      </w:r>
      <m:oMath>
        <m:sSub>
          <m:sSubPr>
            <m:ctrlPr>
              <w:rPr>
                <w:rFonts w:ascii="Cambria Math" w:hAnsi="Cambria Math"/>
                <w:szCs w:val="21"/>
              </w:rPr>
            </m:ctrlPr>
          </m:sSubPr>
          <m:e>
            <m:r>
              <w:rPr>
                <w:rFonts w:ascii="Cambria Math" w:hAnsi="Cambria Math"/>
                <w:szCs w:val="21"/>
              </w:rPr>
              <m:t>r</m:t>
            </m:r>
          </m:e>
          <m:sub>
            <m:r>
              <w:rPr>
                <w:rFonts w:ascii="Cambria Math" w:hAnsi="Cambria Math"/>
                <w:szCs w:val="21"/>
              </w:rPr>
              <m:t>2</m:t>
            </m:r>
          </m:sub>
        </m:sSub>
      </m:oMath>
      <w:r w:rsidRPr="001E13D6">
        <w:rPr>
          <w:rFonts w:hint="eastAsia"/>
          <w:szCs w:val="21"/>
        </w:rPr>
        <w:t>:</w:t>
      </w:r>
      <w:r w:rsidRPr="001E13D6">
        <w:rPr>
          <w:rFonts w:hint="eastAsia"/>
          <w:szCs w:val="21"/>
        </w:rPr>
        <w:t>上限金利規制後の金利、</w:t>
      </w:r>
      <w:r w:rsidRPr="001E13D6">
        <w:rPr>
          <w:rFonts w:hint="eastAsia"/>
          <w:szCs w:val="21"/>
        </w:rPr>
        <w:t>Q:</w:t>
      </w:r>
      <w:r w:rsidRPr="001E13D6">
        <w:rPr>
          <w:rFonts w:hint="eastAsia"/>
          <w:szCs w:val="21"/>
        </w:rPr>
        <w:t>貸出量、</w:t>
      </w: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1</m:t>
            </m:r>
          </m:sub>
        </m:sSub>
      </m:oMath>
      <w:r w:rsidRPr="001E13D6">
        <w:rPr>
          <w:rFonts w:hint="eastAsia"/>
          <w:szCs w:val="21"/>
        </w:rPr>
        <w:t>:</w:t>
      </w:r>
      <w:r w:rsidRPr="001E13D6">
        <w:rPr>
          <w:rFonts w:hint="eastAsia"/>
          <w:szCs w:val="21"/>
        </w:rPr>
        <w:t>独占市場</w:t>
      </w:r>
      <w:r w:rsidRPr="001E13D6">
        <w:rPr>
          <w:rFonts w:hint="eastAsia"/>
          <w:szCs w:val="21"/>
        </w:rPr>
        <w:lastRenderedPageBreak/>
        <w:t>（寡占）市場における貸出量、</w:t>
      </w:r>
      <m:oMath>
        <m:sSub>
          <m:sSubPr>
            <m:ctrlPr>
              <w:rPr>
                <w:rFonts w:ascii="Cambria Math" w:hAnsi="Cambria Math"/>
                <w:szCs w:val="21"/>
              </w:rPr>
            </m:ctrlPr>
          </m:sSubPr>
          <m:e>
            <m:r>
              <w:rPr>
                <w:rFonts w:ascii="Cambria Math" w:hAnsi="Cambria Math"/>
                <w:szCs w:val="21"/>
              </w:rPr>
              <m:t>q</m:t>
            </m:r>
          </m:e>
          <m:sub>
            <m:r>
              <w:rPr>
                <w:rFonts w:ascii="Cambria Math" w:hAnsi="Cambria Math"/>
                <w:szCs w:val="21"/>
              </w:rPr>
              <m:t>2</m:t>
            </m:r>
          </m:sub>
        </m:sSub>
      </m:oMath>
      <w:r w:rsidRPr="001E13D6">
        <w:rPr>
          <w:rFonts w:hint="eastAsia"/>
          <w:szCs w:val="21"/>
        </w:rPr>
        <w:t>:</w:t>
      </w:r>
      <w:r w:rsidRPr="001E13D6">
        <w:rPr>
          <w:rFonts w:hint="eastAsia"/>
          <w:szCs w:val="21"/>
        </w:rPr>
        <w:t>上限金利規制後の貸出量）</w:t>
      </w:r>
    </w:p>
    <w:p w14:paraId="559A22ED" w14:textId="77777777" w:rsidR="00B675DC" w:rsidRPr="001E13D6" w:rsidRDefault="00B675DC" w:rsidP="00B675DC">
      <w:pPr>
        <w:ind w:leftChars="236" w:left="496"/>
        <w:jc w:val="center"/>
        <w:rPr>
          <w:szCs w:val="21"/>
        </w:rPr>
      </w:pPr>
      <w:r>
        <w:rPr>
          <w:rFonts w:hint="eastAsia"/>
          <w:szCs w:val="21"/>
        </w:rPr>
        <w:t>図</w:t>
      </w:r>
      <w:r>
        <w:rPr>
          <w:rFonts w:hint="eastAsia"/>
          <w:szCs w:val="21"/>
        </w:rPr>
        <w:t>4-1</w:t>
      </w:r>
    </w:p>
    <w:p w14:paraId="153AD47D" w14:textId="77777777" w:rsidR="00B675DC" w:rsidRPr="001E13D6" w:rsidRDefault="00B675DC" w:rsidP="00B675DC">
      <w:pPr>
        <w:ind w:leftChars="236" w:left="496"/>
        <w:jc w:val="center"/>
        <w:rPr>
          <w:szCs w:val="21"/>
        </w:rPr>
      </w:pPr>
      <w:r w:rsidRPr="001E13D6">
        <w:rPr>
          <w:noProof/>
          <w:szCs w:val="21"/>
        </w:rPr>
        <w:drawing>
          <wp:inline distT="0" distB="0" distL="0" distR="0" wp14:anchorId="3FCE8471" wp14:editId="1C1C34C4">
            <wp:extent cx="5229225" cy="2981325"/>
            <wp:effectExtent l="0" t="0" r="28575" b="1587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F67297" w14:textId="77777777" w:rsidR="00B675DC" w:rsidRPr="001E13D6" w:rsidRDefault="00B675DC" w:rsidP="00B675DC">
      <w:pPr>
        <w:ind w:leftChars="236" w:left="496"/>
        <w:jc w:val="center"/>
        <w:rPr>
          <w:szCs w:val="21"/>
        </w:rPr>
      </w:pPr>
      <w:r>
        <w:rPr>
          <w:rFonts w:hint="eastAsia"/>
          <w:szCs w:val="21"/>
        </w:rPr>
        <w:t>図</w:t>
      </w:r>
      <w:r>
        <w:rPr>
          <w:rFonts w:hint="eastAsia"/>
          <w:szCs w:val="21"/>
        </w:rPr>
        <w:t>4-2</w:t>
      </w:r>
    </w:p>
    <w:p w14:paraId="6596C0A7" w14:textId="77777777" w:rsidR="00B675DC" w:rsidRPr="001E13D6" w:rsidRDefault="00B675DC" w:rsidP="00DE3C6B">
      <w:pPr>
        <w:ind w:leftChars="93" w:left="283" w:hangingChars="42" w:hanging="88"/>
        <w:rPr>
          <w:szCs w:val="21"/>
        </w:rPr>
      </w:pPr>
      <w:r w:rsidRPr="001E13D6">
        <w:rPr>
          <w:noProof/>
          <w:szCs w:val="21"/>
        </w:rPr>
        <w:drawing>
          <wp:inline distT="0" distB="0" distL="0" distR="0" wp14:anchorId="6BDD38EC" wp14:editId="17812583">
            <wp:extent cx="6061075" cy="3571875"/>
            <wp:effectExtent l="0" t="0" r="34925" b="349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74A8FF" w14:textId="77777777" w:rsidR="00DE3C6B" w:rsidRDefault="00B675DC" w:rsidP="00B675DC">
      <w:pPr>
        <w:rPr>
          <w:szCs w:val="21"/>
        </w:rPr>
      </w:pPr>
      <w:r w:rsidRPr="001E13D6">
        <w:rPr>
          <w:rFonts w:hint="eastAsia"/>
          <w:szCs w:val="21"/>
        </w:rPr>
        <w:t>出典）日本銀行統計及び日本クレジット協会　「平成２４年度版　日本の消費者信用統計」より</w:t>
      </w:r>
      <w:r w:rsidR="00DE3C6B">
        <w:rPr>
          <w:rFonts w:hint="eastAsia"/>
          <w:szCs w:val="21"/>
        </w:rPr>
        <w:t xml:space="preserve">　</w:t>
      </w:r>
    </w:p>
    <w:p w14:paraId="6369B08A" w14:textId="6C9F57FD" w:rsidR="00B675DC" w:rsidRPr="001E13D6" w:rsidRDefault="00DE3C6B" w:rsidP="00B675DC">
      <w:pPr>
        <w:rPr>
          <w:szCs w:val="21"/>
        </w:rPr>
      </w:pPr>
      <w:r>
        <w:rPr>
          <w:rFonts w:hint="eastAsia"/>
          <w:szCs w:val="21"/>
        </w:rPr>
        <w:t xml:space="preserve">　　　</w:t>
      </w:r>
      <w:r w:rsidR="00B675DC" w:rsidRPr="001E13D6">
        <w:rPr>
          <w:rFonts w:hint="eastAsia"/>
          <w:szCs w:val="21"/>
        </w:rPr>
        <w:t>作成</w:t>
      </w:r>
    </w:p>
    <w:p w14:paraId="2972A943" w14:textId="37FF7AC6" w:rsidR="00B675DC" w:rsidRDefault="00B675DC" w:rsidP="00DE3C6B">
      <w:pPr>
        <w:jc w:val="center"/>
        <w:rPr>
          <w:szCs w:val="21"/>
        </w:rPr>
      </w:pPr>
      <w:r w:rsidRPr="001E13D6">
        <w:rPr>
          <w:rFonts w:hint="eastAsia"/>
          <w:szCs w:val="21"/>
        </w:rPr>
        <w:tab/>
      </w:r>
      <w:r>
        <w:rPr>
          <w:rFonts w:hint="eastAsia"/>
          <w:szCs w:val="21"/>
        </w:rPr>
        <w:t>注）</w:t>
      </w:r>
      <w:r>
        <w:rPr>
          <w:szCs w:val="21"/>
        </w:rPr>
        <w:t>2</w:t>
      </w:r>
      <w:r w:rsidRPr="001E13D6">
        <w:rPr>
          <w:szCs w:val="21"/>
        </w:rPr>
        <w:t>010</w:t>
      </w:r>
      <w:r w:rsidRPr="001E13D6">
        <w:rPr>
          <w:rFonts w:hint="eastAsia"/>
          <w:szCs w:val="21"/>
        </w:rPr>
        <w:t>年以降はアイフル、アコム、プロミスの３社のデータ</w:t>
      </w:r>
    </w:p>
    <w:p w14:paraId="2ED43074" w14:textId="77777777" w:rsidR="00B675DC" w:rsidRPr="001E13D6" w:rsidRDefault="00B675DC" w:rsidP="00B675DC">
      <w:pPr>
        <w:jc w:val="center"/>
        <w:rPr>
          <w:szCs w:val="21"/>
        </w:rPr>
      </w:pPr>
      <w:r>
        <w:rPr>
          <w:rFonts w:hint="eastAsia"/>
          <w:szCs w:val="21"/>
        </w:rPr>
        <w:lastRenderedPageBreak/>
        <w:t>図</w:t>
      </w:r>
      <w:r>
        <w:rPr>
          <w:szCs w:val="21"/>
        </w:rPr>
        <w:t>8-1</w:t>
      </w:r>
    </w:p>
    <w:p w14:paraId="1D53A610" w14:textId="77777777" w:rsidR="00B675DC" w:rsidRPr="001E13D6" w:rsidRDefault="00B675DC" w:rsidP="00B675DC">
      <w:pPr>
        <w:ind w:firstLineChars="100" w:firstLine="210"/>
        <w:rPr>
          <w:szCs w:val="21"/>
        </w:rPr>
      </w:pPr>
      <w:r w:rsidRPr="001E13D6">
        <w:rPr>
          <w:noProof/>
          <w:szCs w:val="21"/>
        </w:rPr>
        <w:drawing>
          <wp:inline distT="0" distB="0" distL="0" distR="0" wp14:anchorId="727D223F" wp14:editId="4996AD85">
            <wp:extent cx="5400040" cy="2969472"/>
            <wp:effectExtent l="0" t="0" r="35560" b="2794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D167813" w14:textId="6C3F0D54" w:rsidR="00B675DC" w:rsidRPr="001E13D6" w:rsidRDefault="00B675DC" w:rsidP="00B675DC">
      <w:pPr>
        <w:ind w:firstLineChars="100" w:firstLine="210"/>
        <w:rPr>
          <w:szCs w:val="21"/>
        </w:rPr>
      </w:pPr>
      <w:r w:rsidRPr="001E13D6">
        <w:rPr>
          <w:rFonts w:hint="eastAsia"/>
          <w:szCs w:val="21"/>
        </w:rPr>
        <w:t>出典</w:t>
      </w:r>
      <w:r w:rsidR="00961B4B">
        <w:rPr>
          <w:rFonts w:hint="eastAsia"/>
          <w:szCs w:val="21"/>
        </w:rPr>
        <w:t>）　司法統計年報　１民事・行政編</w:t>
      </w:r>
    </w:p>
    <w:p w14:paraId="63F7538A" w14:textId="33C09696" w:rsidR="00E152E5" w:rsidRPr="00FA2601" w:rsidRDefault="00961B4B" w:rsidP="00961B4B">
      <w:pPr>
        <w:jc w:val="center"/>
      </w:pPr>
      <w:r>
        <w:rPr>
          <w:rFonts w:hint="eastAsia"/>
        </w:rPr>
        <w:t>図</w:t>
      </w:r>
      <w:r>
        <w:t xml:space="preserve"> 8-2</w:t>
      </w:r>
    </w:p>
    <w:p w14:paraId="224CCA06" w14:textId="77777777" w:rsidR="00E152E5" w:rsidRDefault="00E152E5" w:rsidP="00E152E5">
      <w:r>
        <w:rPr>
          <w:noProof/>
        </w:rPr>
        <w:drawing>
          <wp:inline distT="0" distB="0" distL="0" distR="0" wp14:anchorId="76EF0970" wp14:editId="4B4A15E8">
            <wp:extent cx="4572000" cy="2743200"/>
            <wp:effectExtent l="0" t="0" r="19050" b="1905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9B5A17A" w14:textId="5739C853" w:rsidR="00E152E5" w:rsidRPr="00E152E5" w:rsidRDefault="00961B4B" w:rsidP="00961B4B">
      <w:pPr>
        <w:pStyle w:val="11"/>
        <w:rPr>
          <w:rFonts w:hint="eastAsia"/>
        </w:rPr>
      </w:pPr>
      <w:r>
        <w:rPr>
          <w:rFonts w:hint="eastAsia"/>
        </w:rPr>
        <w:t>出典）　平成２４年度警察白書</w:t>
      </w:r>
    </w:p>
    <w:p w14:paraId="380098B7" w14:textId="77777777" w:rsidR="00E152E5" w:rsidRDefault="00E152E5" w:rsidP="00E152E5"/>
    <w:p w14:paraId="09EF84B1" w14:textId="77777777" w:rsidR="00E152E5" w:rsidRPr="00E152E5" w:rsidRDefault="00E152E5" w:rsidP="00E152E5"/>
    <w:sectPr w:rsidR="00E152E5" w:rsidRPr="00E152E5" w:rsidSect="00DA35B1">
      <w:footerReference w:type="even" r:id="rId23"/>
      <w:footerReference w:type="default" r:id="rId24"/>
      <w:pgSz w:w="11906" w:h="16838"/>
      <w:pgMar w:top="1985" w:right="1701" w:bottom="1701" w:left="1134" w:header="851" w:footer="992" w:gutter="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F2DBE" w14:textId="77777777" w:rsidR="00B537D9" w:rsidRDefault="00B537D9" w:rsidP="00245B1E">
      <w:r>
        <w:separator/>
      </w:r>
    </w:p>
  </w:endnote>
  <w:endnote w:type="continuationSeparator" w:id="0">
    <w:p w14:paraId="6426E890" w14:textId="77777777" w:rsidR="00B537D9" w:rsidRDefault="00B537D9" w:rsidP="0024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Ｐゴシック">
    <w:panose1 w:val="020B0600070205080204"/>
    <w:charset w:val="4E"/>
    <w:family w:val="auto"/>
    <w:pitch w:val="variable"/>
    <w:sig w:usb0="00000001" w:usb1="08070000" w:usb2="00000010" w:usb3="00000000" w:csb0="00020000" w:csb1="00000000"/>
  </w:font>
  <w:font w:name="STIXGeneral-Italic">
    <w:panose1 w:val="00000000000000000000"/>
    <w:charset w:val="00"/>
    <w:family w:val="auto"/>
    <w:pitch w:val="variable"/>
    <w:sig w:usb0="00000003" w:usb1="00000000" w:usb2="00000000" w:usb3="00000000" w:csb0="00000001" w:csb1="00000000"/>
  </w:font>
  <w:font w:name="Kefa">
    <w:panose1 w:val="02000506000000020004"/>
    <w:charset w:val="00"/>
    <w:family w:val="auto"/>
    <w:pitch w:val="variable"/>
    <w:sig w:usb0="800000AF" w:usb1="4000204B" w:usb2="00000800" w:usb3="00000000" w:csb0="00000001" w:csb1="00000000"/>
  </w:font>
  <w:font w:name="MS-Mincho">
    <w:altName w:val="ＭＳ 明朝"/>
    <w:panose1 w:val="00000000000000000000"/>
    <w:charset w:val="80"/>
    <w:family w:val="auto"/>
    <w:notTrueType/>
    <w:pitch w:val="default"/>
    <w:sig w:usb0="01000000" w:usb1="00000000" w:usb2="07040001" w:usb3="00000000" w:csb0="00020000" w:csb1="00000000"/>
  </w:font>
  <w:font w:name="Tahoma">
    <w:panose1 w:val="020B0604030504040204"/>
    <w:charset w:val="00"/>
    <w:family w:val="auto"/>
    <w:pitch w:val="variable"/>
    <w:sig w:usb0="00000003" w:usb1="00000000" w:usb2="00000000" w:usb3="00000000" w:csb0="00000001" w:csb1="00000000"/>
  </w:font>
  <w:font w:name="Arabic Transparent">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43D6" w14:textId="77777777" w:rsidR="0093127F" w:rsidRDefault="0093127F" w:rsidP="00517DEE">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DBA9FFC" w14:textId="77777777" w:rsidR="0093127F" w:rsidRDefault="0093127F">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A1849" w14:textId="77777777" w:rsidR="0093127F" w:rsidRDefault="0093127F" w:rsidP="00517DEE">
    <w:pPr>
      <w:pStyle w:val="ab"/>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551E55">
      <w:rPr>
        <w:rStyle w:val="af7"/>
        <w:noProof/>
      </w:rPr>
      <w:t>15</w:t>
    </w:r>
    <w:r>
      <w:rPr>
        <w:rStyle w:val="af7"/>
      </w:rPr>
      <w:fldChar w:fldCharType="end"/>
    </w:r>
  </w:p>
  <w:p w14:paraId="69B2B942" w14:textId="77777777" w:rsidR="0093127F" w:rsidRDefault="0093127F">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1968B" w14:textId="77777777" w:rsidR="00B537D9" w:rsidRDefault="00B537D9" w:rsidP="00245B1E">
      <w:r>
        <w:separator/>
      </w:r>
    </w:p>
  </w:footnote>
  <w:footnote w:type="continuationSeparator" w:id="0">
    <w:p w14:paraId="23B5EE12" w14:textId="77777777" w:rsidR="00B537D9" w:rsidRDefault="00B537D9" w:rsidP="00245B1E">
      <w:r>
        <w:continuationSeparator/>
      </w:r>
    </w:p>
  </w:footnote>
  <w:footnote w:id="1">
    <w:p w14:paraId="39378788" w14:textId="77777777" w:rsidR="0093127F" w:rsidRDefault="0093127F">
      <w:pPr>
        <w:pStyle w:val="ad"/>
      </w:pPr>
      <w:r>
        <w:rPr>
          <w:rStyle w:val="af"/>
        </w:rPr>
        <w:footnoteRef/>
      </w:r>
      <w:r>
        <w:t xml:space="preserve"> </w:t>
      </w:r>
      <w:r>
        <w:rPr>
          <w:rFonts w:hint="eastAsia"/>
        </w:rPr>
        <w:t>最高裁判決及び貸金業法改正以降において、その被害が一様ではなく中小の消費者金融会社に集中した理由については、森（</w:t>
      </w:r>
      <w:r>
        <w:rPr>
          <w:rFonts w:hint="eastAsia"/>
        </w:rPr>
        <w:t>2006</w:t>
      </w:r>
      <w:r>
        <w:rPr>
          <w:rFonts w:hint="eastAsia"/>
        </w:rPr>
        <w:t>）が述べるように中小の消費者金融会社は地理的な知名度の弱さのために、採算が取れる金利水準は高くなければならなかったことが挙げられる。</w:t>
      </w:r>
    </w:p>
  </w:footnote>
  <w:footnote w:id="2">
    <w:p w14:paraId="7D4A54C8" w14:textId="6A93E123" w:rsidR="0093127F" w:rsidRDefault="0093127F">
      <w:pPr>
        <w:pStyle w:val="ad"/>
      </w:pPr>
      <w:r>
        <w:rPr>
          <w:rStyle w:val="af"/>
        </w:rPr>
        <w:footnoteRef/>
      </w:r>
      <w:r>
        <w:t xml:space="preserve"> </w:t>
      </w:r>
      <w:r>
        <w:rPr>
          <w:rFonts w:hint="eastAsia"/>
        </w:rPr>
        <w:t>大塚（</w:t>
      </w:r>
      <w:r w:rsidR="00DC5F6A">
        <w:rPr>
          <w:rFonts w:hint="eastAsia"/>
        </w:rPr>
        <w:t>2008</w:t>
      </w:r>
      <w:r>
        <w:rPr>
          <w:rFonts w:hint="eastAsia"/>
        </w:rPr>
        <w:t>）</w:t>
      </w:r>
    </w:p>
  </w:footnote>
  <w:footnote w:id="3">
    <w:p w14:paraId="39A3BBE5" w14:textId="6A306216" w:rsidR="0093127F" w:rsidRDefault="0093127F">
      <w:pPr>
        <w:pStyle w:val="ad"/>
      </w:pPr>
      <w:r>
        <w:rPr>
          <w:rStyle w:val="af"/>
        </w:rPr>
        <w:footnoteRef/>
      </w:r>
      <w:r>
        <w:t xml:space="preserve"> </w:t>
      </w:r>
      <w:r>
        <w:rPr>
          <w:rFonts w:hint="eastAsia"/>
        </w:rPr>
        <w:t>消費者金融市場の特性について、平瀬氏（</w:t>
      </w:r>
      <w:r>
        <w:rPr>
          <w:rFonts w:hint="eastAsia"/>
        </w:rPr>
        <w:t>2003</w:t>
      </w:r>
      <w:r>
        <w:rPr>
          <w:rFonts w:hint="eastAsia"/>
        </w:rPr>
        <w:t>）のように、数千社の消費者金融会社が存在することを根拠に消費者金融市場が完全競争市場であると述べている者をいる一方で、</w:t>
      </w:r>
      <w:r>
        <w:rPr>
          <w:rFonts w:hint="eastAsia"/>
        </w:rPr>
        <w:t>Lawrence</w:t>
      </w:r>
      <w:r>
        <w:rPr>
          <w:rFonts w:hint="eastAsia"/>
        </w:rPr>
        <w:t>（</w:t>
      </w:r>
      <w:r>
        <w:rPr>
          <w:rFonts w:hint="eastAsia"/>
        </w:rPr>
        <w:t>1991</w:t>
      </w:r>
      <w:r>
        <w:rPr>
          <w:rFonts w:hint="eastAsia"/>
        </w:rPr>
        <w:t>）のように、日本の消費者金融とほぼ同様の機能を持つクレジットサービス市場において、数千社の会社が存在するにも関わらず寡占の存在を指摘している者もいる。この是非については消費者金融会社の費用構造などについての詳細な議論が必要である。</w:t>
      </w:r>
    </w:p>
  </w:footnote>
  <w:footnote w:id="4">
    <w:p w14:paraId="1DE05294" w14:textId="2816DF6E" w:rsidR="0093127F" w:rsidRDefault="0093127F">
      <w:pPr>
        <w:pStyle w:val="ad"/>
      </w:pPr>
      <w:r>
        <w:rPr>
          <w:rStyle w:val="af"/>
        </w:rPr>
        <w:footnoteRef/>
      </w:r>
      <w:r>
        <w:t xml:space="preserve"> </w:t>
      </w:r>
      <w:r>
        <w:rPr>
          <w:rFonts w:hint="eastAsia"/>
        </w:rPr>
        <w:t>大竹（</w:t>
      </w:r>
      <w:r>
        <w:rPr>
          <w:rFonts w:hint="eastAsia"/>
        </w:rPr>
        <w:t>2007</w:t>
      </w:r>
      <w:r>
        <w:rPr>
          <w:rFonts w:hint="eastAsia"/>
        </w:rPr>
        <w:t>）</w:t>
      </w:r>
    </w:p>
  </w:footnote>
  <w:footnote w:id="5">
    <w:p w14:paraId="5C8CF48E" w14:textId="77777777" w:rsidR="0093127F" w:rsidRDefault="0093127F" w:rsidP="00E152E5">
      <w:pPr>
        <w:pStyle w:val="ad"/>
      </w:pPr>
      <w:r>
        <w:rPr>
          <w:rStyle w:val="af"/>
        </w:rPr>
        <w:footnoteRef/>
      </w:r>
      <w:r>
        <w:rPr>
          <w:rFonts w:hint="eastAsia"/>
        </w:rPr>
        <w:t xml:space="preserve"> </w:t>
      </w:r>
      <w:r>
        <w:rPr>
          <w:rFonts w:hint="eastAsia"/>
        </w:rPr>
        <w:t>植杉（</w:t>
      </w:r>
      <w:r>
        <w:rPr>
          <w:rFonts w:hint="eastAsia"/>
        </w:rPr>
        <w:t>2011</w:t>
      </w:r>
      <w:r>
        <w:rPr>
          <w:rFonts w:hint="eastAsia"/>
        </w:rPr>
        <w:t>）</w:t>
      </w:r>
    </w:p>
  </w:footnote>
  <w:footnote w:id="6">
    <w:p w14:paraId="268ED264" w14:textId="77777777" w:rsidR="0093127F" w:rsidRDefault="0093127F" w:rsidP="00E152E5">
      <w:pPr>
        <w:pStyle w:val="ad"/>
      </w:pPr>
      <w:r>
        <w:rPr>
          <w:rStyle w:val="af"/>
        </w:rPr>
        <w:footnoteRef/>
      </w:r>
      <w:r>
        <w:t xml:space="preserve"> </w:t>
      </w:r>
      <w:r>
        <w:rPr>
          <w:rFonts w:hint="eastAsia"/>
        </w:rPr>
        <w:t>飯田（</w:t>
      </w:r>
      <w:r>
        <w:rPr>
          <w:rFonts w:hint="eastAsia"/>
        </w:rPr>
        <w:t>2010</w:t>
      </w:r>
      <w:r>
        <w:rPr>
          <w:rFonts w:hint="eastAsia"/>
        </w:rPr>
        <w:t>）</w:t>
      </w:r>
    </w:p>
  </w:footnote>
  <w:footnote w:id="7">
    <w:p w14:paraId="7BF3E0AA" w14:textId="77777777" w:rsidR="0093127F" w:rsidRDefault="0093127F" w:rsidP="00FE0438">
      <w:pPr>
        <w:pStyle w:val="ad"/>
      </w:pPr>
      <w:r>
        <w:rPr>
          <w:rStyle w:val="af"/>
        </w:rPr>
        <w:footnoteRef/>
      </w:r>
      <w:r>
        <w:t xml:space="preserve"> </w:t>
      </w:r>
      <w:r w:rsidRPr="004465DC">
        <w:rPr>
          <w:rFonts w:hint="eastAsia"/>
          <w:szCs w:val="21"/>
        </w:rPr>
        <w:t>クレジットカードキャッシング等の販売信用業務を行う信用供与者による消費者ローンを除いた消費者ローン市場</w:t>
      </w:r>
    </w:p>
  </w:footnote>
  <w:footnote w:id="8">
    <w:p w14:paraId="32D4CEE9" w14:textId="77777777" w:rsidR="0093127F" w:rsidRDefault="0093127F" w:rsidP="00F90AD9">
      <w:pPr>
        <w:pStyle w:val="ad"/>
      </w:pPr>
      <w:r>
        <w:rPr>
          <w:rStyle w:val="af"/>
        </w:rPr>
        <w:footnoteRef/>
      </w:r>
      <w:r>
        <w:t xml:space="preserve"> </w:t>
      </w:r>
      <w:r w:rsidRPr="004B5F6E">
        <w:rPr>
          <w:rFonts w:hint="eastAsia"/>
          <w:sz w:val="18"/>
          <w:szCs w:val="18"/>
        </w:rPr>
        <w:t>平成１０年度半期以前の消費者金融会社の有価証券報告書には平均約定金利が記載されていないため、それ以前のデータを取得することができなかった。</w:t>
      </w:r>
    </w:p>
  </w:footnote>
  <w:footnote w:id="9">
    <w:p w14:paraId="473F356E" w14:textId="77777777" w:rsidR="0093127F" w:rsidRDefault="0093127F">
      <w:pPr>
        <w:pStyle w:val="ad"/>
      </w:pPr>
      <w:r>
        <w:rPr>
          <w:rStyle w:val="af"/>
        </w:rPr>
        <w:footnoteRef/>
      </w:r>
      <w:r>
        <w:t xml:space="preserve"> </w:t>
      </w:r>
      <w:r>
        <w:rPr>
          <w:rFonts w:hint="eastAsia"/>
        </w:rPr>
        <w:t>本稿における可変費用はミクロ経済学上における可変費用の定義には沿わない。本稿の可変費用とは、一定の生産量から一単位を追加的に生産するために必要となる費用を示す。この定義にのっとれば広告費などは可変費用には含まない。なぜなら、広告費は一定の生産量から</w:t>
      </w:r>
      <w:r>
        <w:rPr>
          <w:rFonts w:hint="eastAsia"/>
        </w:rPr>
        <w:t>1</w:t>
      </w:r>
      <w:r>
        <w:rPr>
          <w:rFonts w:hint="eastAsia"/>
        </w:rPr>
        <w:t>単位を追加的に生産した時に増加する費用ではないからである。</w:t>
      </w:r>
    </w:p>
  </w:footnote>
  <w:footnote w:id="10">
    <w:p w14:paraId="5EF19081" w14:textId="77777777" w:rsidR="0093127F" w:rsidRDefault="0093127F" w:rsidP="00194435">
      <w:pPr>
        <w:pStyle w:val="ad"/>
      </w:pPr>
      <w:r>
        <w:rPr>
          <w:rStyle w:val="af"/>
        </w:rPr>
        <w:footnoteRef/>
      </w:r>
      <w:r>
        <w:t xml:space="preserve"> </w:t>
      </w:r>
      <w:r>
        <w:rPr>
          <w:rFonts w:hint="eastAsia"/>
        </w:rPr>
        <w:t>2005</w:t>
      </w:r>
      <w:r>
        <w:rPr>
          <w:rFonts w:hint="eastAsia"/>
        </w:rPr>
        <w:t>年におけるアコム・プロミス・武富士・三洋信販・アイフルを指す。</w:t>
      </w:r>
    </w:p>
  </w:footnote>
  <w:footnote w:id="11">
    <w:p w14:paraId="25A007D2" w14:textId="77777777" w:rsidR="0093127F" w:rsidRDefault="0093127F" w:rsidP="0093127F">
      <w:pPr>
        <w:pStyle w:val="ad"/>
      </w:pPr>
      <w:r>
        <w:rPr>
          <w:rStyle w:val="af"/>
        </w:rPr>
        <w:footnoteRef/>
      </w:r>
      <w:r>
        <w:rPr>
          <w:rFonts w:hint="eastAsia"/>
        </w:rPr>
        <w:t>中村（</w:t>
      </w:r>
      <w:r>
        <w:rPr>
          <w:rFonts w:hint="eastAsia"/>
        </w:rPr>
        <w:t>2003</w:t>
      </w:r>
      <w:r>
        <w:rPr>
          <w:rFonts w:hint="eastAsia"/>
        </w:rPr>
        <w:t>）摘発の失敗による訴訟費用の負担増に対して危険回避性向を持っている規制当局はより一層慎重になって摘発率を低下させるため、罰則強化の効果は大きく減殺されてしまうと述べている。</w:t>
      </w:r>
    </w:p>
  </w:footnote>
  <w:footnote w:id="12">
    <w:p w14:paraId="0758D2CB" w14:textId="77777777" w:rsidR="0093127F" w:rsidRDefault="0093127F" w:rsidP="0093127F">
      <w:pPr>
        <w:pStyle w:val="ad"/>
      </w:pPr>
      <w:r>
        <w:rPr>
          <w:rStyle w:val="af"/>
        </w:rPr>
        <w:footnoteRef/>
      </w:r>
      <w:r>
        <w:rPr>
          <w:rFonts w:hint="eastAsia"/>
        </w:rPr>
        <w:t xml:space="preserve"> </w:t>
      </w:r>
      <w:r>
        <w:rPr>
          <w:rFonts w:hint="eastAsia"/>
        </w:rPr>
        <w:t>樋口（</w:t>
      </w:r>
      <w:r>
        <w:rPr>
          <w:rFonts w:hint="eastAsia"/>
        </w:rPr>
        <w:t>2004</w:t>
      </w:r>
      <w:r>
        <w:rPr>
          <w:rFonts w:hint="eastAsia"/>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84540"/>
    <w:multiLevelType w:val="hybridMultilevel"/>
    <w:tmpl w:val="07967F40"/>
    <w:lvl w:ilvl="0" w:tplc="2EB42E70">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5846C2B"/>
    <w:multiLevelType w:val="hybridMultilevel"/>
    <w:tmpl w:val="4F389926"/>
    <w:lvl w:ilvl="0" w:tplc="CDA001A4">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41"/>
    <w:rsid w:val="00012519"/>
    <w:rsid w:val="00012641"/>
    <w:rsid w:val="00012FFA"/>
    <w:rsid w:val="00014D80"/>
    <w:rsid w:val="000168D3"/>
    <w:rsid w:val="0001701C"/>
    <w:rsid w:val="0002524F"/>
    <w:rsid w:val="0002725E"/>
    <w:rsid w:val="00034964"/>
    <w:rsid w:val="00042C0D"/>
    <w:rsid w:val="00055BA0"/>
    <w:rsid w:val="000604F2"/>
    <w:rsid w:val="0008176D"/>
    <w:rsid w:val="000878F6"/>
    <w:rsid w:val="00092760"/>
    <w:rsid w:val="000B04CD"/>
    <w:rsid w:val="000B55F5"/>
    <w:rsid w:val="000D41D6"/>
    <w:rsid w:val="000F1463"/>
    <w:rsid w:val="000F2C19"/>
    <w:rsid w:val="0010538B"/>
    <w:rsid w:val="00107958"/>
    <w:rsid w:val="001100F0"/>
    <w:rsid w:val="00121724"/>
    <w:rsid w:val="0016006C"/>
    <w:rsid w:val="001736B7"/>
    <w:rsid w:val="00174650"/>
    <w:rsid w:val="00174AAE"/>
    <w:rsid w:val="00182CA8"/>
    <w:rsid w:val="00184605"/>
    <w:rsid w:val="00194435"/>
    <w:rsid w:val="001B7FFE"/>
    <w:rsid w:val="001C5015"/>
    <w:rsid w:val="001E4DFB"/>
    <w:rsid w:val="002076DE"/>
    <w:rsid w:val="002078AE"/>
    <w:rsid w:val="00221D12"/>
    <w:rsid w:val="002447F8"/>
    <w:rsid w:val="00245B1E"/>
    <w:rsid w:val="00286A6E"/>
    <w:rsid w:val="00294D31"/>
    <w:rsid w:val="00295886"/>
    <w:rsid w:val="002A15AA"/>
    <w:rsid w:val="002B399B"/>
    <w:rsid w:val="002B6444"/>
    <w:rsid w:val="002C1FC4"/>
    <w:rsid w:val="002C77B6"/>
    <w:rsid w:val="002E09E2"/>
    <w:rsid w:val="002E3B3C"/>
    <w:rsid w:val="002E65E3"/>
    <w:rsid w:val="002F19E4"/>
    <w:rsid w:val="00302708"/>
    <w:rsid w:val="0032150A"/>
    <w:rsid w:val="00322693"/>
    <w:rsid w:val="00330136"/>
    <w:rsid w:val="00332DD9"/>
    <w:rsid w:val="00333A6A"/>
    <w:rsid w:val="00335491"/>
    <w:rsid w:val="00356339"/>
    <w:rsid w:val="003759FD"/>
    <w:rsid w:val="003764A5"/>
    <w:rsid w:val="00380149"/>
    <w:rsid w:val="00380ADF"/>
    <w:rsid w:val="003862DA"/>
    <w:rsid w:val="0039138E"/>
    <w:rsid w:val="003913F5"/>
    <w:rsid w:val="0039429F"/>
    <w:rsid w:val="003C77BB"/>
    <w:rsid w:val="003D57AF"/>
    <w:rsid w:val="003D7D7E"/>
    <w:rsid w:val="003E3895"/>
    <w:rsid w:val="003E505D"/>
    <w:rsid w:val="003E7072"/>
    <w:rsid w:val="00407186"/>
    <w:rsid w:val="004143CD"/>
    <w:rsid w:val="00423216"/>
    <w:rsid w:val="00424D8B"/>
    <w:rsid w:val="004465DC"/>
    <w:rsid w:val="0048760A"/>
    <w:rsid w:val="004876C0"/>
    <w:rsid w:val="00494FBD"/>
    <w:rsid w:val="004C00BC"/>
    <w:rsid w:val="004D08BD"/>
    <w:rsid w:val="004D57E5"/>
    <w:rsid w:val="004E1D94"/>
    <w:rsid w:val="004E39E1"/>
    <w:rsid w:val="004E788A"/>
    <w:rsid w:val="004F048F"/>
    <w:rsid w:val="004F4869"/>
    <w:rsid w:val="00501DB3"/>
    <w:rsid w:val="0050246E"/>
    <w:rsid w:val="00507BFB"/>
    <w:rsid w:val="005121EC"/>
    <w:rsid w:val="00515B62"/>
    <w:rsid w:val="00517DEE"/>
    <w:rsid w:val="00533994"/>
    <w:rsid w:val="00543FE5"/>
    <w:rsid w:val="00551E55"/>
    <w:rsid w:val="00553C11"/>
    <w:rsid w:val="00576815"/>
    <w:rsid w:val="00577A9C"/>
    <w:rsid w:val="005B239D"/>
    <w:rsid w:val="005D2060"/>
    <w:rsid w:val="005D4018"/>
    <w:rsid w:val="00621908"/>
    <w:rsid w:val="00621C67"/>
    <w:rsid w:val="006343AF"/>
    <w:rsid w:val="00643207"/>
    <w:rsid w:val="00651C0F"/>
    <w:rsid w:val="006623C5"/>
    <w:rsid w:val="006A5FDD"/>
    <w:rsid w:val="006A65E8"/>
    <w:rsid w:val="006B32AF"/>
    <w:rsid w:val="006B57B5"/>
    <w:rsid w:val="006B618C"/>
    <w:rsid w:val="006C16D3"/>
    <w:rsid w:val="006C3222"/>
    <w:rsid w:val="006E22EC"/>
    <w:rsid w:val="006E441B"/>
    <w:rsid w:val="006F71A3"/>
    <w:rsid w:val="00713300"/>
    <w:rsid w:val="00714103"/>
    <w:rsid w:val="007250E2"/>
    <w:rsid w:val="0076059C"/>
    <w:rsid w:val="007C2ACC"/>
    <w:rsid w:val="007D427D"/>
    <w:rsid w:val="00804E92"/>
    <w:rsid w:val="00813407"/>
    <w:rsid w:val="008454D5"/>
    <w:rsid w:val="00855F1D"/>
    <w:rsid w:val="0086654B"/>
    <w:rsid w:val="008671A9"/>
    <w:rsid w:val="00873067"/>
    <w:rsid w:val="00877FF6"/>
    <w:rsid w:val="008950C7"/>
    <w:rsid w:val="00896433"/>
    <w:rsid w:val="008A750E"/>
    <w:rsid w:val="008B14EF"/>
    <w:rsid w:val="008B1D11"/>
    <w:rsid w:val="008C6920"/>
    <w:rsid w:val="008E3580"/>
    <w:rsid w:val="008F3474"/>
    <w:rsid w:val="008F759D"/>
    <w:rsid w:val="00901E17"/>
    <w:rsid w:val="00903006"/>
    <w:rsid w:val="0091503B"/>
    <w:rsid w:val="009232F8"/>
    <w:rsid w:val="00930BA4"/>
    <w:rsid w:val="0093127F"/>
    <w:rsid w:val="0093743A"/>
    <w:rsid w:val="00943728"/>
    <w:rsid w:val="00955433"/>
    <w:rsid w:val="00961B4B"/>
    <w:rsid w:val="00966AA3"/>
    <w:rsid w:val="009673A2"/>
    <w:rsid w:val="009720F6"/>
    <w:rsid w:val="009757E8"/>
    <w:rsid w:val="009A6484"/>
    <w:rsid w:val="009C11FE"/>
    <w:rsid w:val="009C762A"/>
    <w:rsid w:val="009D0310"/>
    <w:rsid w:val="009D6FAA"/>
    <w:rsid w:val="009F6EA2"/>
    <w:rsid w:val="00A16D92"/>
    <w:rsid w:val="00A22D77"/>
    <w:rsid w:val="00A416EF"/>
    <w:rsid w:val="00A54A6F"/>
    <w:rsid w:val="00A570A2"/>
    <w:rsid w:val="00A57C5B"/>
    <w:rsid w:val="00A57F9C"/>
    <w:rsid w:val="00A6363A"/>
    <w:rsid w:val="00A72F1D"/>
    <w:rsid w:val="00A90096"/>
    <w:rsid w:val="00A93FE1"/>
    <w:rsid w:val="00AA35A7"/>
    <w:rsid w:val="00AE68A7"/>
    <w:rsid w:val="00B0297E"/>
    <w:rsid w:val="00B24AFC"/>
    <w:rsid w:val="00B376C0"/>
    <w:rsid w:val="00B537D9"/>
    <w:rsid w:val="00B675DC"/>
    <w:rsid w:val="00B866DB"/>
    <w:rsid w:val="00BA70C2"/>
    <w:rsid w:val="00BB313A"/>
    <w:rsid w:val="00BB426B"/>
    <w:rsid w:val="00BC6C92"/>
    <w:rsid w:val="00BD3C36"/>
    <w:rsid w:val="00BE7C46"/>
    <w:rsid w:val="00BF7BE5"/>
    <w:rsid w:val="00C05B0B"/>
    <w:rsid w:val="00C06B76"/>
    <w:rsid w:val="00C2507C"/>
    <w:rsid w:val="00C5003C"/>
    <w:rsid w:val="00C607A3"/>
    <w:rsid w:val="00CB1B84"/>
    <w:rsid w:val="00CD3C99"/>
    <w:rsid w:val="00CD3D5C"/>
    <w:rsid w:val="00CE1BC4"/>
    <w:rsid w:val="00CE6974"/>
    <w:rsid w:val="00D10039"/>
    <w:rsid w:val="00D16DD3"/>
    <w:rsid w:val="00D243B2"/>
    <w:rsid w:val="00D334E1"/>
    <w:rsid w:val="00D541E6"/>
    <w:rsid w:val="00D77C9C"/>
    <w:rsid w:val="00D97FA0"/>
    <w:rsid w:val="00DA35B1"/>
    <w:rsid w:val="00DA7404"/>
    <w:rsid w:val="00DB607B"/>
    <w:rsid w:val="00DC5F6A"/>
    <w:rsid w:val="00DD7EF3"/>
    <w:rsid w:val="00DE3C6B"/>
    <w:rsid w:val="00DF3841"/>
    <w:rsid w:val="00E06D8F"/>
    <w:rsid w:val="00E152E5"/>
    <w:rsid w:val="00E2140D"/>
    <w:rsid w:val="00E377CB"/>
    <w:rsid w:val="00E5531E"/>
    <w:rsid w:val="00E56ED6"/>
    <w:rsid w:val="00E63071"/>
    <w:rsid w:val="00E6668C"/>
    <w:rsid w:val="00E83FFC"/>
    <w:rsid w:val="00E96D25"/>
    <w:rsid w:val="00F00E3F"/>
    <w:rsid w:val="00F04C09"/>
    <w:rsid w:val="00F078AC"/>
    <w:rsid w:val="00F1240F"/>
    <w:rsid w:val="00F24E3D"/>
    <w:rsid w:val="00F52926"/>
    <w:rsid w:val="00F66CC1"/>
    <w:rsid w:val="00F77C8E"/>
    <w:rsid w:val="00F90A4F"/>
    <w:rsid w:val="00F90AD9"/>
    <w:rsid w:val="00F943EF"/>
    <w:rsid w:val="00FA4292"/>
    <w:rsid w:val="00FB0FAB"/>
    <w:rsid w:val="00FE0438"/>
    <w:rsid w:val="00FF4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6D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D3"/>
    <w:pPr>
      <w:widowControl w:val="0"/>
      <w:jc w:val="both"/>
    </w:pPr>
  </w:style>
  <w:style w:type="paragraph" w:styleId="1">
    <w:name w:val="heading 1"/>
    <w:basedOn w:val="a"/>
    <w:next w:val="a"/>
    <w:link w:val="10"/>
    <w:uiPriority w:val="9"/>
    <w:qFormat/>
    <w:rsid w:val="000168D3"/>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11"/>
    <w:link w:val="20"/>
    <w:uiPriority w:val="9"/>
    <w:unhideWhenUsed/>
    <w:qFormat/>
    <w:rsid w:val="00E96D25"/>
    <w:pPr>
      <w:keepNext/>
      <w:outlineLvl w:val="1"/>
    </w:pPr>
    <w:rPr>
      <w:rFonts w:asciiTheme="majorHAnsi" w:hAnsiTheme="majorHAnsi" w:cstheme="majorBidi"/>
      <w:b/>
      <w:sz w:val="23"/>
    </w:rPr>
  </w:style>
  <w:style w:type="paragraph" w:styleId="3">
    <w:name w:val="heading 3"/>
    <w:basedOn w:val="a"/>
    <w:next w:val="a"/>
    <w:link w:val="30"/>
    <w:uiPriority w:val="9"/>
    <w:unhideWhenUsed/>
    <w:qFormat/>
    <w:rsid w:val="00E96D25"/>
    <w:pPr>
      <w:keepNext/>
      <w:jc w:val="left"/>
      <w:outlineLvl w:val="2"/>
    </w:pPr>
    <w:rPr>
      <w:rFonts w:asciiTheme="majorHAnsi"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168D3"/>
    <w:rPr>
      <w:rFonts w:asciiTheme="majorHAnsi" w:eastAsiaTheme="majorEastAsia" w:hAnsiTheme="majorHAnsi" w:cstheme="majorBidi"/>
      <w:b/>
      <w:bCs/>
      <w:color w:val="365F91" w:themeColor="accent1" w:themeShade="BF"/>
      <w:kern w:val="0"/>
      <w:sz w:val="28"/>
      <w:szCs w:val="28"/>
    </w:rPr>
  </w:style>
  <w:style w:type="character" w:customStyle="1" w:styleId="20">
    <w:name w:val="見出し 2 (文字)"/>
    <w:basedOn w:val="a0"/>
    <w:link w:val="2"/>
    <w:uiPriority w:val="9"/>
    <w:rsid w:val="00E96D25"/>
    <w:rPr>
      <w:rFonts w:asciiTheme="majorHAnsi" w:hAnsiTheme="majorHAnsi" w:cstheme="majorBidi"/>
      <w:b/>
      <w:sz w:val="23"/>
    </w:rPr>
  </w:style>
  <w:style w:type="character" w:customStyle="1" w:styleId="30">
    <w:name w:val="見出し 3 (文字)"/>
    <w:basedOn w:val="a0"/>
    <w:link w:val="3"/>
    <w:uiPriority w:val="9"/>
    <w:rsid w:val="00E96D25"/>
    <w:rPr>
      <w:rFonts w:asciiTheme="majorHAnsi" w:hAnsiTheme="majorHAnsi" w:cstheme="majorBidi"/>
      <w:sz w:val="22"/>
    </w:rPr>
  </w:style>
  <w:style w:type="paragraph" w:styleId="a3">
    <w:name w:val="No Spacing"/>
    <w:link w:val="a4"/>
    <w:uiPriority w:val="1"/>
    <w:qFormat/>
    <w:rsid w:val="000168D3"/>
    <w:rPr>
      <w:kern w:val="0"/>
      <w:sz w:val="22"/>
    </w:rPr>
  </w:style>
  <w:style w:type="character" w:customStyle="1" w:styleId="a4">
    <w:name w:val="行間詰め (文字)"/>
    <w:basedOn w:val="a0"/>
    <w:link w:val="a3"/>
    <w:uiPriority w:val="1"/>
    <w:rsid w:val="000168D3"/>
    <w:rPr>
      <w:kern w:val="0"/>
      <w:sz w:val="22"/>
    </w:rPr>
  </w:style>
  <w:style w:type="paragraph" w:styleId="a5">
    <w:name w:val="List Paragraph"/>
    <w:basedOn w:val="a"/>
    <w:uiPriority w:val="34"/>
    <w:qFormat/>
    <w:rsid w:val="000168D3"/>
    <w:pPr>
      <w:ind w:leftChars="400" w:left="840"/>
    </w:pPr>
  </w:style>
  <w:style w:type="paragraph" w:styleId="a6">
    <w:name w:val="TOC Heading"/>
    <w:basedOn w:val="1"/>
    <w:next w:val="a"/>
    <w:uiPriority w:val="39"/>
    <w:semiHidden/>
    <w:unhideWhenUsed/>
    <w:qFormat/>
    <w:rsid w:val="000168D3"/>
    <w:pPr>
      <w:outlineLvl w:val="9"/>
    </w:pPr>
  </w:style>
  <w:style w:type="paragraph" w:styleId="a7">
    <w:name w:val="Balloon Text"/>
    <w:basedOn w:val="a"/>
    <w:link w:val="a8"/>
    <w:uiPriority w:val="99"/>
    <w:semiHidden/>
    <w:unhideWhenUsed/>
    <w:rsid w:val="00DF38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3841"/>
    <w:rPr>
      <w:rFonts w:asciiTheme="majorHAnsi" w:eastAsiaTheme="majorEastAsia" w:hAnsiTheme="majorHAnsi" w:cstheme="majorBidi"/>
      <w:sz w:val="18"/>
      <w:szCs w:val="18"/>
    </w:rPr>
  </w:style>
  <w:style w:type="paragraph" w:styleId="a9">
    <w:name w:val="header"/>
    <w:basedOn w:val="a"/>
    <w:link w:val="aa"/>
    <w:uiPriority w:val="99"/>
    <w:unhideWhenUsed/>
    <w:rsid w:val="00245B1E"/>
    <w:pPr>
      <w:tabs>
        <w:tab w:val="center" w:pos="4252"/>
        <w:tab w:val="right" w:pos="8504"/>
      </w:tabs>
      <w:snapToGrid w:val="0"/>
    </w:pPr>
  </w:style>
  <w:style w:type="character" w:customStyle="1" w:styleId="aa">
    <w:name w:val="ヘッダー (文字)"/>
    <w:basedOn w:val="a0"/>
    <w:link w:val="a9"/>
    <w:uiPriority w:val="99"/>
    <w:rsid w:val="00245B1E"/>
  </w:style>
  <w:style w:type="paragraph" w:styleId="ab">
    <w:name w:val="footer"/>
    <w:basedOn w:val="a"/>
    <w:link w:val="ac"/>
    <w:uiPriority w:val="99"/>
    <w:unhideWhenUsed/>
    <w:rsid w:val="00245B1E"/>
    <w:pPr>
      <w:tabs>
        <w:tab w:val="center" w:pos="4252"/>
        <w:tab w:val="right" w:pos="8504"/>
      </w:tabs>
      <w:snapToGrid w:val="0"/>
    </w:pPr>
  </w:style>
  <w:style w:type="character" w:customStyle="1" w:styleId="ac">
    <w:name w:val="フッター (文字)"/>
    <w:basedOn w:val="a0"/>
    <w:link w:val="ab"/>
    <w:uiPriority w:val="99"/>
    <w:rsid w:val="00245B1E"/>
  </w:style>
  <w:style w:type="paragraph" w:styleId="ad">
    <w:name w:val="footnote text"/>
    <w:basedOn w:val="a"/>
    <w:link w:val="ae"/>
    <w:uiPriority w:val="99"/>
    <w:unhideWhenUsed/>
    <w:rsid w:val="00A57C5B"/>
    <w:pPr>
      <w:snapToGrid w:val="0"/>
      <w:jc w:val="left"/>
    </w:pPr>
  </w:style>
  <w:style w:type="character" w:customStyle="1" w:styleId="ae">
    <w:name w:val="脚注文字列 (文字)"/>
    <w:basedOn w:val="a0"/>
    <w:link w:val="ad"/>
    <w:uiPriority w:val="99"/>
    <w:rsid w:val="00A57C5B"/>
  </w:style>
  <w:style w:type="character" w:styleId="af">
    <w:name w:val="footnote reference"/>
    <w:basedOn w:val="a0"/>
    <w:uiPriority w:val="99"/>
    <w:unhideWhenUsed/>
    <w:rsid w:val="00A57C5B"/>
    <w:rPr>
      <w:vertAlign w:val="superscript"/>
    </w:rPr>
  </w:style>
  <w:style w:type="character" w:styleId="af0">
    <w:name w:val="Placeholder Text"/>
    <w:basedOn w:val="a0"/>
    <w:uiPriority w:val="99"/>
    <w:semiHidden/>
    <w:rsid w:val="00A72F1D"/>
    <w:rPr>
      <w:color w:val="808080"/>
    </w:rPr>
  </w:style>
  <w:style w:type="table" w:styleId="af1">
    <w:name w:val="Table Grid"/>
    <w:basedOn w:val="a1"/>
    <w:uiPriority w:val="59"/>
    <w:rsid w:val="00174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1"/>
    <w:basedOn w:val="a1"/>
    <w:uiPriority w:val="63"/>
    <w:rsid w:val="00F90AD9"/>
    <w:rPr>
      <w:sz w:val="24"/>
      <w:szCs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21">
    <w:name w:val="toc 2"/>
    <w:basedOn w:val="a"/>
    <w:next w:val="a"/>
    <w:autoRedefine/>
    <w:uiPriority w:val="39"/>
    <w:unhideWhenUsed/>
    <w:rsid w:val="00E96D25"/>
    <w:pPr>
      <w:ind w:leftChars="100" w:left="210"/>
    </w:pPr>
  </w:style>
  <w:style w:type="paragraph" w:styleId="11">
    <w:name w:val="toc 1"/>
    <w:basedOn w:val="a"/>
    <w:next w:val="a"/>
    <w:autoRedefine/>
    <w:uiPriority w:val="39"/>
    <w:unhideWhenUsed/>
    <w:rsid w:val="00961B4B"/>
  </w:style>
  <w:style w:type="paragraph" w:styleId="31">
    <w:name w:val="toc 3"/>
    <w:basedOn w:val="a"/>
    <w:next w:val="a"/>
    <w:autoRedefine/>
    <w:uiPriority w:val="39"/>
    <w:unhideWhenUsed/>
    <w:rsid w:val="00E96D25"/>
    <w:pPr>
      <w:ind w:leftChars="200" w:left="420"/>
    </w:pPr>
  </w:style>
  <w:style w:type="paragraph" w:styleId="40">
    <w:name w:val="toc 4"/>
    <w:basedOn w:val="a"/>
    <w:next w:val="a"/>
    <w:autoRedefine/>
    <w:uiPriority w:val="39"/>
    <w:unhideWhenUsed/>
    <w:rsid w:val="00E96D25"/>
    <w:pPr>
      <w:ind w:leftChars="300" w:left="630"/>
    </w:pPr>
  </w:style>
  <w:style w:type="paragraph" w:styleId="5">
    <w:name w:val="toc 5"/>
    <w:basedOn w:val="a"/>
    <w:next w:val="a"/>
    <w:autoRedefine/>
    <w:uiPriority w:val="39"/>
    <w:unhideWhenUsed/>
    <w:rsid w:val="00E96D25"/>
    <w:pPr>
      <w:ind w:leftChars="400" w:left="840"/>
    </w:pPr>
  </w:style>
  <w:style w:type="paragraph" w:styleId="6">
    <w:name w:val="toc 6"/>
    <w:basedOn w:val="a"/>
    <w:next w:val="a"/>
    <w:autoRedefine/>
    <w:uiPriority w:val="39"/>
    <w:unhideWhenUsed/>
    <w:rsid w:val="00E96D25"/>
    <w:pPr>
      <w:ind w:leftChars="500" w:left="1050"/>
    </w:pPr>
  </w:style>
  <w:style w:type="paragraph" w:styleId="7">
    <w:name w:val="toc 7"/>
    <w:basedOn w:val="a"/>
    <w:next w:val="a"/>
    <w:autoRedefine/>
    <w:uiPriority w:val="39"/>
    <w:unhideWhenUsed/>
    <w:rsid w:val="00E96D25"/>
    <w:pPr>
      <w:ind w:leftChars="600" w:left="1260"/>
    </w:pPr>
  </w:style>
  <w:style w:type="paragraph" w:styleId="8">
    <w:name w:val="toc 8"/>
    <w:basedOn w:val="a"/>
    <w:next w:val="a"/>
    <w:autoRedefine/>
    <w:uiPriority w:val="39"/>
    <w:unhideWhenUsed/>
    <w:rsid w:val="00E96D25"/>
    <w:pPr>
      <w:ind w:leftChars="700" w:left="1470"/>
    </w:pPr>
  </w:style>
  <w:style w:type="paragraph" w:styleId="9">
    <w:name w:val="toc 9"/>
    <w:basedOn w:val="a"/>
    <w:next w:val="a"/>
    <w:autoRedefine/>
    <w:uiPriority w:val="39"/>
    <w:unhideWhenUsed/>
    <w:rsid w:val="00E96D25"/>
    <w:pPr>
      <w:ind w:leftChars="800" w:left="1680"/>
    </w:pPr>
  </w:style>
  <w:style w:type="character" w:customStyle="1" w:styleId="journaltitleen">
    <w:name w:val="journal_title_en"/>
    <w:basedOn w:val="a0"/>
    <w:rsid w:val="00B675DC"/>
  </w:style>
  <w:style w:type="paragraph" w:styleId="Web">
    <w:name w:val="Normal (Web)"/>
    <w:basedOn w:val="a"/>
    <w:uiPriority w:val="99"/>
    <w:semiHidden/>
    <w:unhideWhenUsed/>
    <w:rsid w:val="00651C0F"/>
    <w:pPr>
      <w:widowControl/>
      <w:spacing w:before="100" w:beforeAutospacing="1" w:after="100" w:afterAutospacing="1"/>
      <w:jc w:val="left"/>
    </w:pPr>
    <w:rPr>
      <w:rFonts w:ascii="Times" w:hAnsi="Times" w:cs="Times New Roman"/>
      <w:kern w:val="0"/>
      <w:sz w:val="20"/>
      <w:szCs w:val="20"/>
    </w:rPr>
  </w:style>
  <w:style w:type="character" w:styleId="af2">
    <w:name w:val="annotation reference"/>
    <w:basedOn w:val="a0"/>
    <w:uiPriority w:val="99"/>
    <w:semiHidden/>
    <w:unhideWhenUsed/>
    <w:rsid w:val="00BB426B"/>
    <w:rPr>
      <w:sz w:val="18"/>
      <w:szCs w:val="18"/>
    </w:rPr>
  </w:style>
  <w:style w:type="paragraph" w:styleId="af3">
    <w:name w:val="annotation text"/>
    <w:basedOn w:val="a"/>
    <w:link w:val="af4"/>
    <w:uiPriority w:val="99"/>
    <w:semiHidden/>
    <w:unhideWhenUsed/>
    <w:rsid w:val="00BB426B"/>
    <w:pPr>
      <w:jc w:val="left"/>
    </w:pPr>
  </w:style>
  <w:style w:type="character" w:customStyle="1" w:styleId="af4">
    <w:name w:val="コメント文字列 (文字)"/>
    <w:basedOn w:val="a0"/>
    <w:link w:val="af3"/>
    <w:uiPriority w:val="99"/>
    <w:semiHidden/>
    <w:rsid w:val="00BB426B"/>
  </w:style>
  <w:style w:type="paragraph" w:styleId="af5">
    <w:name w:val="annotation subject"/>
    <w:basedOn w:val="af3"/>
    <w:next w:val="af3"/>
    <w:link w:val="af6"/>
    <w:uiPriority w:val="99"/>
    <w:semiHidden/>
    <w:unhideWhenUsed/>
    <w:rsid w:val="00BB426B"/>
    <w:rPr>
      <w:b/>
      <w:bCs/>
    </w:rPr>
  </w:style>
  <w:style w:type="character" w:customStyle="1" w:styleId="af6">
    <w:name w:val="コメント内容 (文字)"/>
    <w:basedOn w:val="af4"/>
    <w:link w:val="af5"/>
    <w:uiPriority w:val="99"/>
    <w:semiHidden/>
    <w:rsid w:val="00BB426B"/>
    <w:rPr>
      <w:b/>
      <w:bCs/>
    </w:rPr>
  </w:style>
  <w:style w:type="character" w:styleId="af7">
    <w:name w:val="page number"/>
    <w:basedOn w:val="a0"/>
    <w:uiPriority w:val="99"/>
    <w:semiHidden/>
    <w:unhideWhenUsed/>
    <w:rsid w:val="00AA35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D3"/>
    <w:pPr>
      <w:widowControl w:val="0"/>
      <w:jc w:val="both"/>
    </w:pPr>
  </w:style>
  <w:style w:type="paragraph" w:styleId="1">
    <w:name w:val="heading 1"/>
    <w:basedOn w:val="a"/>
    <w:next w:val="a"/>
    <w:link w:val="10"/>
    <w:uiPriority w:val="9"/>
    <w:qFormat/>
    <w:rsid w:val="000168D3"/>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
    <w:next w:val="11"/>
    <w:link w:val="20"/>
    <w:uiPriority w:val="9"/>
    <w:unhideWhenUsed/>
    <w:qFormat/>
    <w:rsid w:val="00E96D25"/>
    <w:pPr>
      <w:keepNext/>
      <w:outlineLvl w:val="1"/>
    </w:pPr>
    <w:rPr>
      <w:rFonts w:asciiTheme="majorHAnsi" w:hAnsiTheme="majorHAnsi" w:cstheme="majorBidi"/>
      <w:b/>
      <w:sz w:val="23"/>
    </w:rPr>
  </w:style>
  <w:style w:type="paragraph" w:styleId="3">
    <w:name w:val="heading 3"/>
    <w:basedOn w:val="a"/>
    <w:next w:val="a"/>
    <w:link w:val="30"/>
    <w:uiPriority w:val="9"/>
    <w:unhideWhenUsed/>
    <w:qFormat/>
    <w:rsid w:val="00E96D25"/>
    <w:pPr>
      <w:keepNext/>
      <w:jc w:val="left"/>
      <w:outlineLvl w:val="2"/>
    </w:pPr>
    <w:rPr>
      <w:rFonts w:asciiTheme="majorHAnsi"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168D3"/>
    <w:rPr>
      <w:rFonts w:asciiTheme="majorHAnsi" w:eastAsiaTheme="majorEastAsia" w:hAnsiTheme="majorHAnsi" w:cstheme="majorBidi"/>
      <w:b/>
      <w:bCs/>
      <w:color w:val="365F91" w:themeColor="accent1" w:themeShade="BF"/>
      <w:kern w:val="0"/>
      <w:sz w:val="28"/>
      <w:szCs w:val="28"/>
    </w:rPr>
  </w:style>
  <w:style w:type="character" w:customStyle="1" w:styleId="20">
    <w:name w:val="見出し 2 (文字)"/>
    <w:basedOn w:val="a0"/>
    <w:link w:val="2"/>
    <w:uiPriority w:val="9"/>
    <w:rsid w:val="00E96D25"/>
    <w:rPr>
      <w:rFonts w:asciiTheme="majorHAnsi" w:hAnsiTheme="majorHAnsi" w:cstheme="majorBidi"/>
      <w:b/>
      <w:sz w:val="23"/>
    </w:rPr>
  </w:style>
  <w:style w:type="character" w:customStyle="1" w:styleId="30">
    <w:name w:val="見出し 3 (文字)"/>
    <w:basedOn w:val="a0"/>
    <w:link w:val="3"/>
    <w:uiPriority w:val="9"/>
    <w:rsid w:val="00E96D25"/>
    <w:rPr>
      <w:rFonts w:asciiTheme="majorHAnsi" w:hAnsiTheme="majorHAnsi" w:cstheme="majorBidi"/>
      <w:sz w:val="22"/>
    </w:rPr>
  </w:style>
  <w:style w:type="paragraph" w:styleId="a3">
    <w:name w:val="No Spacing"/>
    <w:link w:val="a4"/>
    <w:uiPriority w:val="1"/>
    <w:qFormat/>
    <w:rsid w:val="000168D3"/>
    <w:rPr>
      <w:kern w:val="0"/>
      <w:sz w:val="22"/>
    </w:rPr>
  </w:style>
  <w:style w:type="character" w:customStyle="1" w:styleId="a4">
    <w:name w:val="行間詰め (文字)"/>
    <w:basedOn w:val="a0"/>
    <w:link w:val="a3"/>
    <w:uiPriority w:val="1"/>
    <w:rsid w:val="000168D3"/>
    <w:rPr>
      <w:kern w:val="0"/>
      <w:sz w:val="22"/>
    </w:rPr>
  </w:style>
  <w:style w:type="paragraph" w:styleId="a5">
    <w:name w:val="List Paragraph"/>
    <w:basedOn w:val="a"/>
    <w:uiPriority w:val="34"/>
    <w:qFormat/>
    <w:rsid w:val="000168D3"/>
    <w:pPr>
      <w:ind w:leftChars="400" w:left="840"/>
    </w:pPr>
  </w:style>
  <w:style w:type="paragraph" w:styleId="a6">
    <w:name w:val="TOC Heading"/>
    <w:basedOn w:val="1"/>
    <w:next w:val="a"/>
    <w:uiPriority w:val="39"/>
    <w:semiHidden/>
    <w:unhideWhenUsed/>
    <w:qFormat/>
    <w:rsid w:val="000168D3"/>
    <w:pPr>
      <w:outlineLvl w:val="9"/>
    </w:pPr>
  </w:style>
  <w:style w:type="paragraph" w:styleId="a7">
    <w:name w:val="Balloon Text"/>
    <w:basedOn w:val="a"/>
    <w:link w:val="a8"/>
    <w:uiPriority w:val="99"/>
    <w:semiHidden/>
    <w:unhideWhenUsed/>
    <w:rsid w:val="00DF38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3841"/>
    <w:rPr>
      <w:rFonts w:asciiTheme="majorHAnsi" w:eastAsiaTheme="majorEastAsia" w:hAnsiTheme="majorHAnsi" w:cstheme="majorBidi"/>
      <w:sz w:val="18"/>
      <w:szCs w:val="18"/>
    </w:rPr>
  </w:style>
  <w:style w:type="paragraph" w:styleId="a9">
    <w:name w:val="header"/>
    <w:basedOn w:val="a"/>
    <w:link w:val="aa"/>
    <w:uiPriority w:val="99"/>
    <w:unhideWhenUsed/>
    <w:rsid w:val="00245B1E"/>
    <w:pPr>
      <w:tabs>
        <w:tab w:val="center" w:pos="4252"/>
        <w:tab w:val="right" w:pos="8504"/>
      </w:tabs>
      <w:snapToGrid w:val="0"/>
    </w:pPr>
  </w:style>
  <w:style w:type="character" w:customStyle="1" w:styleId="aa">
    <w:name w:val="ヘッダー (文字)"/>
    <w:basedOn w:val="a0"/>
    <w:link w:val="a9"/>
    <w:uiPriority w:val="99"/>
    <w:rsid w:val="00245B1E"/>
  </w:style>
  <w:style w:type="paragraph" w:styleId="ab">
    <w:name w:val="footer"/>
    <w:basedOn w:val="a"/>
    <w:link w:val="ac"/>
    <w:uiPriority w:val="99"/>
    <w:unhideWhenUsed/>
    <w:rsid w:val="00245B1E"/>
    <w:pPr>
      <w:tabs>
        <w:tab w:val="center" w:pos="4252"/>
        <w:tab w:val="right" w:pos="8504"/>
      </w:tabs>
      <w:snapToGrid w:val="0"/>
    </w:pPr>
  </w:style>
  <w:style w:type="character" w:customStyle="1" w:styleId="ac">
    <w:name w:val="フッター (文字)"/>
    <w:basedOn w:val="a0"/>
    <w:link w:val="ab"/>
    <w:uiPriority w:val="99"/>
    <w:rsid w:val="00245B1E"/>
  </w:style>
  <w:style w:type="paragraph" w:styleId="ad">
    <w:name w:val="footnote text"/>
    <w:basedOn w:val="a"/>
    <w:link w:val="ae"/>
    <w:uiPriority w:val="99"/>
    <w:unhideWhenUsed/>
    <w:rsid w:val="00A57C5B"/>
    <w:pPr>
      <w:snapToGrid w:val="0"/>
      <w:jc w:val="left"/>
    </w:pPr>
  </w:style>
  <w:style w:type="character" w:customStyle="1" w:styleId="ae">
    <w:name w:val="脚注文字列 (文字)"/>
    <w:basedOn w:val="a0"/>
    <w:link w:val="ad"/>
    <w:uiPriority w:val="99"/>
    <w:rsid w:val="00A57C5B"/>
  </w:style>
  <w:style w:type="character" w:styleId="af">
    <w:name w:val="footnote reference"/>
    <w:basedOn w:val="a0"/>
    <w:uiPriority w:val="99"/>
    <w:unhideWhenUsed/>
    <w:rsid w:val="00A57C5B"/>
    <w:rPr>
      <w:vertAlign w:val="superscript"/>
    </w:rPr>
  </w:style>
  <w:style w:type="character" w:styleId="af0">
    <w:name w:val="Placeholder Text"/>
    <w:basedOn w:val="a0"/>
    <w:uiPriority w:val="99"/>
    <w:semiHidden/>
    <w:rsid w:val="00A72F1D"/>
    <w:rPr>
      <w:color w:val="808080"/>
    </w:rPr>
  </w:style>
  <w:style w:type="table" w:styleId="af1">
    <w:name w:val="Table Grid"/>
    <w:basedOn w:val="a1"/>
    <w:uiPriority w:val="59"/>
    <w:rsid w:val="00174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1"/>
    <w:basedOn w:val="a1"/>
    <w:uiPriority w:val="63"/>
    <w:rsid w:val="00F90AD9"/>
    <w:rPr>
      <w:sz w:val="24"/>
      <w:szCs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21">
    <w:name w:val="toc 2"/>
    <w:basedOn w:val="a"/>
    <w:next w:val="a"/>
    <w:autoRedefine/>
    <w:uiPriority w:val="39"/>
    <w:unhideWhenUsed/>
    <w:rsid w:val="00E96D25"/>
    <w:pPr>
      <w:ind w:leftChars="100" w:left="210"/>
    </w:pPr>
  </w:style>
  <w:style w:type="paragraph" w:styleId="11">
    <w:name w:val="toc 1"/>
    <w:basedOn w:val="a"/>
    <w:next w:val="a"/>
    <w:autoRedefine/>
    <w:uiPriority w:val="39"/>
    <w:unhideWhenUsed/>
    <w:rsid w:val="00961B4B"/>
  </w:style>
  <w:style w:type="paragraph" w:styleId="31">
    <w:name w:val="toc 3"/>
    <w:basedOn w:val="a"/>
    <w:next w:val="a"/>
    <w:autoRedefine/>
    <w:uiPriority w:val="39"/>
    <w:unhideWhenUsed/>
    <w:rsid w:val="00E96D25"/>
    <w:pPr>
      <w:ind w:leftChars="200" w:left="420"/>
    </w:pPr>
  </w:style>
  <w:style w:type="paragraph" w:styleId="40">
    <w:name w:val="toc 4"/>
    <w:basedOn w:val="a"/>
    <w:next w:val="a"/>
    <w:autoRedefine/>
    <w:uiPriority w:val="39"/>
    <w:unhideWhenUsed/>
    <w:rsid w:val="00E96D25"/>
    <w:pPr>
      <w:ind w:leftChars="300" w:left="630"/>
    </w:pPr>
  </w:style>
  <w:style w:type="paragraph" w:styleId="5">
    <w:name w:val="toc 5"/>
    <w:basedOn w:val="a"/>
    <w:next w:val="a"/>
    <w:autoRedefine/>
    <w:uiPriority w:val="39"/>
    <w:unhideWhenUsed/>
    <w:rsid w:val="00E96D25"/>
    <w:pPr>
      <w:ind w:leftChars="400" w:left="840"/>
    </w:pPr>
  </w:style>
  <w:style w:type="paragraph" w:styleId="6">
    <w:name w:val="toc 6"/>
    <w:basedOn w:val="a"/>
    <w:next w:val="a"/>
    <w:autoRedefine/>
    <w:uiPriority w:val="39"/>
    <w:unhideWhenUsed/>
    <w:rsid w:val="00E96D25"/>
    <w:pPr>
      <w:ind w:leftChars="500" w:left="1050"/>
    </w:pPr>
  </w:style>
  <w:style w:type="paragraph" w:styleId="7">
    <w:name w:val="toc 7"/>
    <w:basedOn w:val="a"/>
    <w:next w:val="a"/>
    <w:autoRedefine/>
    <w:uiPriority w:val="39"/>
    <w:unhideWhenUsed/>
    <w:rsid w:val="00E96D25"/>
    <w:pPr>
      <w:ind w:leftChars="600" w:left="1260"/>
    </w:pPr>
  </w:style>
  <w:style w:type="paragraph" w:styleId="8">
    <w:name w:val="toc 8"/>
    <w:basedOn w:val="a"/>
    <w:next w:val="a"/>
    <w:autoRedefine/>
    <w:uiPriority w:val="39"/>
    <w:unhideWhenUsed/>
    <w:rsid w:val="00E96D25"/>
    <w:pPr>
      <w:ind w:leftChars="700" w:left="1470"/>
    </w:pPr>
  </w:style>
  <w:style w:type="paragraph" w:styleId="9">
    <w:name w:val="toc 9"/>
    <w:basedOn w:val="a"/>
    <w:next w:val="a"/>
    <w:autoRedefine/>
    <w:uiPriority w:val="39"/>
    <w:unhideWhenUsed/>
    <w:rsid w:val="00E96D25"/>
    <w:pPr>
      <w:ind w:leftChars="800" w:left="1680"/>
    </w:pPr>
  </w:style>
  <w:style w:type="character" w:customStyle="1" w:styleId="journaltitleen">
    <w:name w:val="journal_title_en"/>
    <w:basedOn w:val="a0"/>
    <w:rsid w:val="00B675DC"/>
  </w:style>
  <w:style w:type="paragraph" w:styleId="Web">
    <w:name w:val="Normal (Web)"/>
    <w:basedOn w:val="a"/>
    <w:uiPriority w:val="99"/>
    <w:semiHidden/>
    <w:unhideWhenUsed/>
    <w:rsid w:val="00651C0F"/>
    <w:pPr>
      <w:widowControl/>
      <w:spacing w:before="100" w:beforeAutospacing="1" w:after="100" w:afterAutospacing="1"/>
      <w:jc w:val="left"/>
    </w:pPr>
    <w:rPr>
      <w:rFonts w:ascii="Times" w:hAnsi="Times" w:cs="Times New Roman"/>
      <w:kern w:val="0"/>
      <w:sz w:val="20"/>
      <w:szCs w:val="20"/>
    </w:rPr>
  </w:style>
  <w:style w:type="character" w:styleId="af2">
    <w:name w:val="annotation reference"/>
    <w:basedOn w:val="a0"/>
    <w:uiPriority w:val="99"/>
    <w:semiHidden/>
    <w:unhideWhenUsed/>
    <w:rsid w:val="00BB426B"/>
    <w:rPr>
      <w:sz w:val="18"/>
      <w:szCs w:val="18"/>
    </w:rPr>
  </w:style>
  <w:style w:type="paragraph" w:styleId="af3">
    <w:name w:val="annotation text"/>
    <w:basedOn w:val="a"/>
    <w:link w:val="af4"/>
    <w:uiPriority w:val="99"/>
    <w:semiHidden/>
    <w:unhideWhenUsed/>
    <w:rsid w:val="00BB426B"/>
    <w:pPr>
      <w:jc w:val="left"/>
    </w:pPr>
  </w:style>
  <w:style w:type="character" w:customStyle="1" w:styleId="af4">
    <w:name w:val="コメント文字列 (文字)"/>
    <w:basedOn w:val="a0"/>
    <w:link w:val="af3"/>
    <w:uiPriority w:val="99"/>
    <w:semiHidden/>
    <w:rsid w:val="00BB426B"/>
  </w:style>
  <w:style w:type="paragraph" w:styleId="af5">
    <w:name w:val="annotation subject"/>
    <w:basedOn w:val="af3"/>
    <w:next w:val="af3"/>
    <w:link w:val="af6"/>
    <w:uiPriority w:val="99"/>
    <w:semiHidden/>
    <w:unhideWhenUsed/>
    <w:rsid w:val="00BB426B"/>
    <w:rPr>
      <w:b/>
      <w:bCs/>
    </w:rPr>
  </w:style>
  <w:style w:type="character" w:customStyle="1" w:styleId="af6">
    <w:name w:val="コメント内容 (文字)"/>
    <w:basedOn w:val="af4"/>
    <w:link w:val="af5"/>
    <w:uiPriority w:val="99"/>
    <w:semiHidden/>
    <w:rsid w:val="00BB426B"/>
    <w:rPr>
      <w:b/>
      <w:bCs/>
    </w:rPr>
  </w:style>
  <w:style w:type="character" w:styleId="af7">
    <w:name w:val="page number"/>
    <w:basedOn w:val="a0"/>
    <w:uiPriority w:val="99"/>
    <w:semiHidden/>
    <w:unhideWhenUsed/>
    <w:rsid w:val="00AA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5315">
      <w:bodyDiv w:val="1"/>
      <w:marLeft w:val="0"/>
      <w:marRight w:val="0"/>
      <w:marTop w:val="0"/>
      <w:marBottom w:val="0"/>
      <w:divBdr>
        <w:top w:val="none" w:sz="0" w:space="0" w:color="auto"/>
        <w:left w:val="none" w:sz="0" w:space="0" w:color="auto"/>
        <w:bottom w:val="none" w:sz="0" w:space="0" w:color="auto"/>
        <w:right w:val="none" w:sz="0" w:space="0" w:color="auto"/>
      </w:divBdr>
    </w:div>
    <w:div w:id="202862548">
      <w:bodyDiv w:val="1"/>
      <w:marLeft w:val="0"/>
      <w:marRight w:val="0"/>
      <w:marTop w:val="0"/>
      <w:marBottom w:val="0"/>
      <w:divBdr>
        <w:top w:val="none" w:sz="0" w:space="0" w:color="auto"/>
        <w:left w:val="none" w:sz="0" w:space="0" w:color="auto"/>
        <w:bottom w:val="none" w:sz="0" w:space="0" w:color="auto"/>
        <w:right w:val="none" w:sz="0" w:space="0" w:color="auto"/>
      </w:divBdr>
    </w:div>
    <w:div w:id="717631552">
      <w:bodyDiv w:val="1"/>
      <w:marLeft w:val="0"/>
      <w:marRight w:val="0"/>
      <w:marTop w:val="0"/>
      <w:marBottom w:val="0"/>
      <w:divBdr>
        <w:top w:val="none" w:sz="0" w:space="0" w:color="auto"/>
        <w:left w:val="none" w:sz="0" w:space="0" w:color="auto"/>
        <w:bottom w:val="none" w:sz="0" w:space="0" w:color="auto"/>
        <w:right w:val="none" w:sz="0" w:space="0" w:color="auto"/>
      </w:divBdr>
    </w:div>
    <w:div w:id="876433956">
      <w:bodyDiv w:val="1"/>
      <w:marLeft w:val="0"/>
      <w:marRight w:val="0"/>
      <w:marTop w:val="0"/>
      <w:marBottom w:val="0"/>
      <w:divBdr>
        <w:top w:val="none" w:sz="0" w:space="0" w:color="auto"/>
        <w:left w:val="none" w:sz="0" w:space="0" w:color="auto"/>
        <w:bottom w:val="none" w:sz="0" w:space="0" w:color="auto"/>
        <w:right w:val="none" w:sz="0" w:space="0" w:color="auto"/>
      </w:divBdr>
    </w:div>
    <w:div w:id="1059327127">
      <w:bodyDiv w:val="1"/>
      <w:marLeft w:val="0"/>
      <w:marRight w:val="0"/>
      <w:marTop w:val="0"/>
      <w:marBottom w:val="0"/>
      <w:divBdr>
        <w:top w:val="none" w:sz="0" w:space="0" w:color="auto"/>
        <w:left w:val="none" w:sz="0" w:space="0" w:color="auto"/>
        <w:bottom w:val="none" w:sz="0" w:space="0" w:color="auto"/>
        <w:right w:val="none" w:sz="0" w:space="0" w:color="auto"/>
      </w:divBdr>
    </w:div>
    <w:div w:id="1107893624">
      <w:bodyDiv w:val="1"/>
      <w:marLeft w:val="0"/>
      <w:marRight w:val="0"/>
      <w:marTop w:val="0"/>
      <w:marBottom w:val="0"/>
      <w:divBdr>
        <w:top w:val="none" w:sz="0" w:space="0" w:color="auto"/>
        <w:left w:val="none" w:sz="0" w:space="0" w:color="auto"/>
        <w:bottom w:val="none" w:sz="0" w:space="0" w:color="auto"/>
        <w:right w:val="none" w:sz="0" w:space="0" w:color="auto"/>
      </w:divBdr>
    </w:div>
    <w:div w:id="1142193454">
      <w:bodyDiv w:val="1"/>
      <w:marLeft w:val="0"/>
      <w:marRight w:val="0"/>
      <w:marTop w:val="0"/>
      <w:marBottom w:val="0"/>
      <w:divBdr>
        <w:top w:val="none" w:sz="0" w:space="0" w:color="auto"/>
        <w:left w:val="none" w:sz="0" w:space="0" w:color="auto"/>
        <w:bottom w:val="none" w:sz="0" w:space="0" w:color="auto"/>
        <w:right w:val="none" w:sz="0" w:space="0" w:color="auto"/>
      </w:divBdr>
    </w:div>
    <w:div w:id="159613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chart" Target="charts/chart5.xml"/><Relationship Id="rId21" Type="http://schemas.openxmlformats.org/officeDocument/2006/relationships/chart" Target="charts/chart6.xml"/><Relationship Id="rId22" Type="http://schemas.openxmlformats.org/officeDocument/2006/relationships/chart" Target="charts/chart7.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oleObject" Target="embeddings/Microsoft___1.bin"/><Relationship Id="rId13" Type="http://schemas.openxmlformats.org/officeDocument/2006/relationships/image" Target="media/image3.emf"/><Relationship Id="rId14" Type="http://schemas.openxmlformats.org/officeDocument/2006/relationships/oleObject" Target="embeddings/Microsoft___2.bin"/><Relationship Id="rId15" Type="http://schemas.openxmlformats.org/officeDocument/2006/relationships/chart" Target="charts/chart1.xml"/><Relationship Id="rId16" Type="http://schemas.openxmlformats.org/officeDocument/2006/relationships/chart" Target="charts/chart2.xml"/><Relationship Id="rId17" Type="http://schemas.openxmlformats.org/officeDocument/2006/relationships/chart" Target="charts/chart3.xml"/><Relationship Id="rId18" Type="http://schemas.openxmlformats.org/officeDocument/2006/relationships/image" Target="media/image4.png"/><Relationship Id="rId19" Type="http://schemas.openxmlformats.org/officeDocument/2006/relationships/chart" Target="charts/chart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sataka:Dropbox:Kaino&amp;MatsumuraCaseStudyReport:&#26377;&#20385;&#35388;&#21048;&#22577;&#21578;&#26360;2.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sataka:Dropbox:Kaino&amp;MatsumuraCaseStudyReport:&#26377;&#20385;&#35388;&#21048;&#22577;&#21578;&#26360;2.xlsx" TargetMode="External"/><Relationship Id="rId2"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asataka:Dropbox:Kaino&amp;MatsumuraCaseStudyReport:&#26377;&#20385;&#35388;&#21048;&#22577;&#21578;&#26360;2.xlsx" TargetMode="External"/><Relationship Id="rId2"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ropbox\Kaino&amp;MatsumuraCaseStudyReport\data\demand&amp;supplycurve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asataka:Dropbox:Kaino&amp;MatsumuraCaseStudyReport:&#12459;&#12540;&#12489;&#12525;&#12540;&#12531;.xlsx" TargetMode="External"/><Relationship Id="rId2"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asataka:Dropbox:Kaino&amp;MatsumuraCaseStudyReport:data:demand&amp;supplycurve2.0.xlsx" TargetMode="External"/><Relationship Id="rId2" Type="http://schemas.openxmlformats.org/officeDocument/2006/relationships/chartUserShapes" Target="../drawings/drawing5.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K.I\files\2012\GraSPP\Winter\MatsumuraCaseStudy\Documents\k&#35686;&#23519;&#30333;&#26360;&#32113;&#3533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300"/>
            </a:pPr>
            <a:r>
              <a:rPr lang="ja-JP" altLang="en-US" sz="1300"/>
              <a:t>消費者金融貸付残高の推移</a:t>
            </a:r>
          </a:p>
        </c:rich>
      </c:tx>
      <c:layout/>
      <c:overlay val="0"/>
    </c:title>
    <c:autoTitleDeleted val="0"/>
    <c:plotArea>
      <c:layout>
        <c:manualLayout>
          <c:layoutTarget val="inner"/>
          <c:xMode val="edge"/>
          <c:yMode val="edge"/>
          <c:x val="0.112326938703118"/>
          <c:y val="0.14059711830627"/>
          <c:w val="0.662396357081871"/>
          <c:h val="0.761016238115464"/>
        </c:manualLayout>
      </c:layout>
      <c:barChart>
        <c:barDir val="col"/>
        <c:grouping val="stacked"/>
        <c:varyColors val="0"/>
        <c:ser>
          <c:idx val="0"/>
          <c:order val="0"/>
          <c:tx>
            <c:strRef>
              <c:f>Sheet1!$C$44</c:f>
              <c:strCache>
                <c:ptCount val="1"/>
                <c:pt idx="0">
                  <c:v>大手５社</c:v>
                </c:pt>
              </c:strCache>
            </c:strRef>
          </c:tx>
          <c:invertIfNegative val="0"/>
          <c:cat>
            <c:numRef>
              <c:f>Sheet1!$B$45:$B$58</c:f>
              <c:numCache>
                <c:formatCode>General</c:formatCode>
                <c:ptCount val="14"/>
                <c:pt idx="0">
                  <c:v>1999.0</c:v>
                </c:pt>
                <c:pt idx="1">
                  <c:v>2000.0</c:v>
                </c:pt>
                <c:pt idx="2">
                  <c:v>2001.0</c:v>
                </c:pt>
                <c:pt idx="3">
                  <c:v>2002.0</c:v>
                </c:pt>
                <c:pt idx="4">
                  <c:v>2003.0</c:v>
                </c:pt>
                <c:pt idx="5">
                  <c:v>2004.0</c:v>
                </c:pt>
                <c:pt idx="6">
                  <c:v>2005.0</c:v>
                </c:pt>
                <c:pt idx="7">
                  <c:v>2006.0</c:v>
                </c:pt>
                <c:pt idx="8">
                  <c:v>2007.0</c:v>
                </c:pt>
                <c:pt idx="9">
                  <c:v>2008.0</c:v>
                </c:pt>
                <c:pt idx="10">
                  <c:v>2009.0</c:v>
                </c:pt>
                <c:pt idx="11">
                  <c:v>2010.0</c:v>
                </c:pt>
                <c:pt idx="12">
                  <c:v>2011.0</c:v>
                </c:pt>
                <c:pt idx="13">
                  <c:v>2012.0</c:v>
                </c:pt>
              </c:numCache>
            </c:numRef>
          </c:cat>
          <c:val>
            <c:numRef>
              <c:f>Sheet1!$C$45:$C$58</c:f>
              <c:numCache>
                <c:formatCode>General</c:formatCode>
                <c:ptCount val="14"/>
                <c:pt idx="0">
                  <c:v>43550.36</c:v>
                </c:pt>
                <c:pt idx="1">
                  <c:v>49276.81</c:v>
                </c:pt>
                <c:pt idx="2">
                  <c:v>59442.09</c:v>
                </c:pt>
                <c:pt idx="3">
                  <c:v>66277.93999999999</c:v>
                </c:pt>
                <c:pt idx="4">
                  <c:v>68242.34</c:v>
                </c:pt>
                <c:pt idx="5">
                  <c:v>66715.93999999999</c:v>
                </c:pt>
                <c:pt idx="6">
                  <c:v>69483.12</c:v>
                </c:pt>
                <c:pt idx="7">
                  <c:v>70257.12</c:v>
                </c:pt>
                <c:pt idx="8">
                  <c:v>65662.72</c:v>
                </c:pt>
                <c:pt idx="9">
                  <c:v>60807.14</c:v>
                </c:pt>
                <c:pt idx="10">
                  <c:v>50439.81</c:v>
                </c:pt>
                <c:pt idx="11">
                  <c:v>39507.42</c:v>
                </c:pt>
                <c:pt idx="12">
                  <c:v>22373.38</c:v>
                </c:pt>
                <c:pt idx="13">
                  <c:v>19108.12</c:v>
                </c:pt>
              </c:numCache>
            </c:numRef>
          </c:val>
        </c:ser>
        <c:ser>
          <c:idx val="1"/>
          <c:order val="1"/>
          <c:tx>
            <c:strRef>
              <c:f>Sheet1!$D$44</c:f>
              <c:strCache>
                <c:ptCount val="1"/>
                <c:pt idx="0">
                  <c:v>大手５社以外</c:v>
                </c:pt>
              </c:strCache>
            </c:strRef>
          </c:tx>
          <c:invertIfNegative val="0"/>
          <c:cat>
            <c:numRef>
              <c:f>Sheet1!$B$45:$B$58</c:f>
              <c:numCache>
                <c:formatCode>General</c:formatCode>
                <c:ptCount val="14"/>
                <c:pt idx="0">
                  <c:v>1999.0</c:v>
                </c:pt>
                <c:pt idx="1">
                  <c:v>2000.0</c:v>
                </c:pt>
                <c:pt idx="2">
                  <c:v>2001.0</c:v>
                </c:pt>
                <c:pt idx="3">
                  <c:v>2002.0</c:v>
                </c:pt>
                <c:pt idx="4">
                  <c:v>2003.0</c:v>
                </c:pt>
                <c:pt idx="5">
                  <c:v>2004.0</c:v>
                </c:pt>
                <c:pt idx="6">
                  <c:v>2005.0</c:v>
                </c:pt>
                <c:pt idx="7">
                  <c:v>2006.0</c:v>
                </c:pt>
                <c:pt idx="8">
                  <c:v>2007.0</c:v>
                </c:pt>
                <c:pt idx="9">
                  <c:v>2008.0</c:v>
                </c:pt>
                <c:pt idx="10">
                  <c:v>2009.0</c:v>
                </c:pt>
                <c:pt idx="11">
                  <c:v>2010.0</c:v>
                </c:pt>
                <c:pt idx="12">
                  <c:v>2011.0</c:v>
                </c:pt>
                <c:pt idx="13">
                  <c:v>2012.0</c:v>
                </c:pt>
              </c:numCache>
            </c:numRef>
          </c:cat>
          <c:val>
            <c:numRef>
              <c:f>Sheet1!$D$45:$D$58</c:f>
              <c:numCache>
                <c:formatCode>General</c:formatCode>
                <c:ptCount val="14"/>
                <c:pt idx="0">
                  <c:v>35035.64</c:v>
                </c:pt>
                <c:pt idx="1">
                  <c:v>39212.19</c:v>
                </c:pt>
                <c:pt idx="2">
                  <c:v>37475.91</c:v>
                </c:pt>
                <c:pt idx="3">
                  <c:v>36079.06</c:v>
                </c:pt>
                <c:pt idx="4">
                  <c:v>33512.66</c:v>
                </c:pt>
                <c:pt idx="5">
                  <c:v>34855.06</c:v>
                </c:pt>
                <c:pt idx="6">
                  <c:v>29378.88</c:v>
                </c:pt>
                <c:pt idx="7">
                  <c:v>21849.88</c:v>
                </c:pt>
                <c:pt idx="8">
                  <c:v>14873.28</c:v>
                </c:pt>
                <c:pt idx="9">
                  <c:v>4546.86</c:v>
                </c:pt>
                <c:pt idx="10">
                  <c:v>2692.19</c:v>
                </c:pt>
                <c:pt idx="11">
                  <c:v>1742.58</c:v>
                </c:pt>
              </c:numCache>
            </c:numRef>
          </c:val>
        </c:ser>
        <c:dLbls>
          <c:showLegendKey val="0"/>
          <c:showVal val="0"/>
          <c:showCatName val="0"/>
          <c:showSerName val="0"/>
          <c:showPercent val="0"/>
          <c:showBubbleSize val="0"/>
        </c:dLbls>
        <c:gapWidth val="55"/>
        <c:overlap val="100"/>
        <c:axId val="2124183992"/>
        <c:axId val="2126576984"/>
      </c:barChart>
      <c:lineChart>
        <c:grouping val="standard"/>
        <c:varyColors val="0"/>
        <c:ser>
          <c:idx val="2"/>
          <c:order val="2"/>
          <c:tx>
            <c:strRef>
              <c:f>Sheet1!$E$44</c:f>
              <c:strCache>
                <c:ptCount val="1"/>
                <c:pt idx="0">
                  <c:v>大手シェア</c:v>
                </c:pt>
              </c:strCache>
            </c:strRef>
          </c:tx>
          <c:marker>
            <c:symbol val="none"/>
          </c:marker>
          <c:cat>
            <c:numRef>
              <c:f>Sheet1!$B$45:$B$58</c:f>
              <c:numCache>
                <c:formatCode>General</c:formatCode>
                <c:ptCount val="14"/>
                <c:pt idx="0">
                  <c:v>1999.0</c:v>
                </c:pt>
                <c:pt idx="1">
                  <c:v>2000.0</c:v>
                </c:pt>
                <c:pt idx="2">
                  <c:v>2001.0</c:v>
                </c:pt>
                <c:pt idx="3">
                  <c:v>2002.0</c:v>
                </c:pt>
                <c:pt idx="4">
                  <c:v>2003.0</c:v>
                </c:pt>
                <c:pt idx="5">
                  <c:v>2004.0</c:v>
                </c:pt>
                <c:pt idx="6">
                  <c:v>2005.0</c:v>
                </c:pt>
                <c:pt idx="7">
                  <c:v>2006.0</c:v>
                </c:pt>
                <c:pt idx="8">
                  <c:v>2007.0</c:v>
                </c:pt>
                <c:pt idx="9">
                  <c:v>2008.0</c:v>
                </c:pt>
                <c:pt idx="10">
                  <c:v>2009.0</c:v>
                </c:pt>
                <c:pt idx="11">
                  <c:v>2010.0</c:v>
                </c:pt>
                <c:pt idx="12">
                  <c:v>2011.0</c:v>
                </c:pt>
                <c:pt idx="13">
                  <c:v>2012.0</c:v>
                </c:pt>
              </c:numCache>
            </c:numRef>
          </c:cat>
          <c:val>
            <c:numRef>
              <c:f>Sheet1!$E$45:$E$58</c:f>
              <c:numCache>
                <c:formatCode>General</c:formatCode>
                <c:ptCount val="14"/>
                <c:pt idx="0">
                  <c:v>0.554174534904436</c:v>
                </c:pt>
                <c:pt idx="1">
                  <c:v>0.556869328391099</c:v>
                </c:pt>
                <c:pt idx="2">
                  <c:v>0.613323531232588</c:v>
                </c:pt>
                <c:pt idx="3">
                  <c:v>0.647517414539308</c:v>
                </c:pt>
                <c:pt idx="4">
                  <c:v>0.670653432263771</c:v>
                </c:pt>
                <c:pt idx="5">
                  <c:v>0.656840436738833</c:v>
                </c:pt>
                <c:pt idx="6">
                  <c:v>0.702829398555562</c:v>
                </c:pt>
                <c:pt idx="7">
                  <c:v>0.76277720477271</c:v>
                </c:pt>
                <c:pt idx="8">
                  <c:v>0.815321346975266</c:v>
                </c:pt>
                <c:pt idx="9">
                  <c:v>0.930427211800349</c:v>
                </c:pt>
                <c:pt idx="10">
                  <c:v>0.949330158849657</c:v>
                </c:pt>
                <c:pt idx="11">
                  <c:v>0.957755636363636</c:v>
                </c:pt>
              </c:numCache>
            </c:numRef>
          </c:val>
          <c:smooth val="0"/>
        </c:ser>
        <c:dLbls>
          <c:showLegendKey val="0"/>
          <c:showVal val="0"/>
          <c:showCatName val="0"/>
          <c:showSerName val="0"/>
          <c:showPercent val="0"/>
          <c:showBubbleSize val="0"/>
        </c:dLbls>
        <c:marker val="1"/>
        <c:smooth val="0"/>
        <c:axId val="-2094987304"/>
        <c:axId val="2100416552"/>
      </c:lineChart>
      <c:catAx>
        <c:axId val="2124183992"/>
        <c:scaling>
          <c:orientation val="minMax"/>
        </c:scaling>
        <c:delete val="0"/>
        <c:axPos val="b"/>
        <c:numFmt formatCode="General" sourceLinked="1"/>
        <c:majorTickMark val="none"/>
        <c:minorTickMark val="none"/>
        <c:tickLblPos val="nextTo"/>
        <c:txPr>
          <a:bodyPr/>
          <a:lstStyle/>
          <a:p>
            <a:pPr>
              <a:defRPr sz="800"/>
            </a:pPr>
            <a:endParaRPr lang="ja-JP"/>
          </a:p>
        </c:txPr>
        <c:crossAx val="2126576984"/>
        <c:crosses val="autoZero"/>
        <c:auto val="1"/>
        <c:lblAlgn val="ctr"/>
        <c:lblOffset val="100"/>
        <c:noMultiLvlLbl val="0"/>
      </c:catAx>
      <c:valAx>
        <c:axId val="2126576984"/>
        <c:scaling>
          <c:orientation val="minMax"/>
        </c:scaling>
        <c:delete val="0"/>
        <c:axPos val="l"/>
        <c:majorGridlines/>
        <c:numFmt formatCode="General" sourceLinked="1"/>
        <c:majorTickMark val="none"/>
        <c:minorTickMark val="none"/>
        <c:tickLblPos val="nextTo"/>
        <c:txPr>
          <a:bodyPr/>
          <a:lstStyle/>
          <a:p>
            <a:pPr>
              <a:defRPr sz="800"/>
            </a:pPr>
            <a:endParaRPr lang="ja-JP"/>
          </a:p>
        </c:txPr>
        <c:crossAx val="2124183992"/>
        <c:crosses val="autoZero"/>
        <c:crossBetween val="between"/>
      </c:valAx>
      <c:valAx>
        <c:axId val="2100416552"/>
        <c:scaling>
          <c:orientation val="minMax"/>
          <c:max val="1.0"/>
        </c:scaling>
        <c:delete val="0"/>
        <c:axPos val="r"/>
        <c:numFmt formatCode="0%" sourceLinked="0"/>
        <c:majorTickMark val="out"/>
        <c:minorTickMark val="none"/>
        <c:tickLblPos val="nextTo"/>
        <c:crossAx val="-2094987304"/>
        <c:crosses val="max"/>
        <c:crossBetween val="between"/>
      </c:valAx>
      <c:catAx>
        <c:axId val="-2094987304"/>
        <c:scaling>
          <c:orientation val="minMax"/>
        </c:scaling>
        <c:delete val="1"/>
        <c:axPos val="b"/>
        <c:numFmt formatCode="General" sourceLinked="1"/>
        <c:majorTickMark val="out"/>
        <c:minorTickMark val="none"/>
        <c:tickLblPos val="nextTo"/>
        <c:crossAx val="2100416552"/>
        <c:crosses val="autoZero"/>
        <c:auto val="1"/>
        <c:lblAlgn val="ctr"/>
        <c:lblOffset val="100"/>
        <c:noMultiLvlLbl val="0"/>
      </c:catAx>
    </c:plotArea>
    <c:legend>
      <c:legendPos val="r"/>
      <c:layout>
        <c:manualLayout>
          <c:xMode val="edge"/>
          <c:yMode val="edge"/>
          <c:x val="0.84623602248776"/>
          <c:y val="0.436580912863071"/>
          <c:w val="0.153764014949279"/>
          <c:h val="0.175626467744164"/>
        </c:manualLayout>
      </c:layout>
      <c:overlay val="0"/>
      <c:txPr>
        <a:bodyPr/>
        <a:lstStyle/>
        <a:p>
          <a:pPr>
            <a:defRPr sz="700"/>
          </a:pPr>
          <a:endParaRPr lang="ja-JP"/>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300"/>
            </a:pPr>
            <a:r>
              <a:rPr lang="ja-JP" altLang="en-US" sz="1300"/>
              <a:t>大手５社と消費者金融全体の平均約定金利の推移</a:t>
            </a:r>
          </a:p>
        </c:rich>
      </c:tx>
      <c:layout/>
      <c:overlay val="0"/>
    </c:title>
    <c:autoTitleDeleted val="0"/>
    <c:plotArea>
      <c:layout/>
      <c:lineChart>
        <c:grouping val="standard"/>
        <c:varyColors val="0"/>
        <c:ser>
          <c:idx val="1"/>
          <c:order val="0"/>
          <c:tx>
            <c:strRef>
              <c:f>Sheet1!$C$64</c:f>
              <c:strCache>
                <c:ptCount val="1"/>
                <c:pt idx="0">
                  <c:v>大手５社</c:v>
                </c:pt>
              </c:strCache>
            </c:strRef>
          </c:tx>
          <c:spPr>
            <a:ln>
              <a:solidFill>
                <a:schemeClr val="accent1"/>
              </a:solidFill>
            </a:ln>
          </c:spPr>
          <c:marker>
            <c:spPr>
              <a:solidFill>
                <a:schemeClr val="accent1"/>
              </a:solidFill>
              <a:ln>
                <a:solidFill>
                  <a:schemeClr val="accent1"/>
                </a:solidFill>
              </a:ln>
            </c:spPr>
          </c:marker>
          <c:cat>
            <c:numRef>
              <c:f>Sheet1!$B$65:$B$93</c:f>
              <c:numCache>
                <c:formatCode>General</c:formatCode>
                <c:ptCount val="29"/>
                <c:pt idx="0">
                  <c:v>1998.9</c:v>
                </c:pt>
                <c:pt idx="1">
                  <c:v>1999.3</c:v>
                </c:pt>
                <c:pt idx="2">
                  <c:v>1999.9</c:v>
                </c:pt>
                <c:pt idx="3">
                  <c:v>2000.3</c:v>
                </c:pt>
                <c:pt idx="4">
                  <c:v>2000.9</c:v>
                </c:pt>
                <c:pt idx="5">
                  <c:v>2001.3</c:v>
                </c:pt>
                <c:pt idx="6">
                  <c:v>2001.9</c:v>
                </c:pt>
                <c:pt idx="7">
                  <c:v>2002.3</c:v>
                </c:pt>
                <c:pt idx="8">
                  <c:v>2002.9</c:v>
                </c:pt>
                <c:pt idx="9">
                  <c:v>2003.3</c:v>
                </c:pt>
                <c:pt idx="10">
                  <c:v>2003.9</c:v>
                </c:pt>
                <c:pt idx="11">
                  <c:v>2004.3</c:v>
                </c:pt>
                <c:pt idx="12">
                  <c:v>2004.9</c:v>
                </c:pt>
                <c:pt idx="13">
                  <c:v>2005.3</c:v>
                </c:pt>
                <c:pt idx="14">
                  <c:v>2005.9</c:v>
                </c:pt>
                <c:pt idx="15">
                  <c:v>2006.3</c:v>
                </c:pt>
                <c:pt idx="16">
                  <c:v>2006.9</c:v>
                </c:pt>
                <c:pt idx="17">
                  <c:v>2007.3</c:v>
                </c:pt>
                <c:pt idx="18">
                  <c:v>2007.9</c:v>
                </c:pt>
                <c:pt idx="19">
                  <c:v>2008.3</c:v>
                </c:pt>
                <c:pt idx="20">
                  <c:v>2008.9</c:v>
                </c:pt>
                <c:pt idx="21">
                  <c:v>2009.3</c:v>
                </c:pt>
                <c:pt idx="22">
                  <c:v>2009.9</c:v>
                </c:pt>
                <c:pt idx="23">
                  <c:v>2010.3</c:v>
                </c:pt>
                <c:pt idx="24">
                  <c:v>2010.9</c:v>
                </c:pt>
                <c:pt idx="25">
                  <c:v>2011.3</c:v>
                </c:pt>
                <c:pt idx="26">
                  <c:v>2011.9</c:v>
                </c:pt>
                <c:pt idx="27">
                  <c:v>2012.3</c:v>
                </c:pt>
                <c:pt idx="28">
                  <c:v>2012.9</c:v>
                </c:pt>
              </c:numCache>
            </c:numRef>
          </c:cat>
          <c:val>
            <c:numRef>
              <c:f>Sheet1!$C$65:$C$93</c:f>
              <c:numCache>
                <c:formatCode>0.00_ </c:formatCode>
                <c:ptCount val="29"/>
                <c:pt idx="0">
                  <c:v>26.9</c:v>
                </c:pt>
                <c:pt idx="1">
                  <c:v>26.722</c:v>
                </c:pt>
                <c:pt idx="2">
                  <c:v>26.54799999999999</c:v>
                </c:pt>
                <c:pt idx="3">
                  <c:v>26.30399999999999</c:v>
                </c:pt>
                <c:pt idx="4">
                  <c:v>26.214</c:v>
                </c:pt>
                <c:pt idx="5">
                  <c:v>26.05</c:v>
                </c:pt>
                <c:pt idx="6">
                  <c:v>25.946</c:v>
                </c:pt>
                <c:pt idx="7">
                  <c:v>25.844</c:v>
                </c:pt>
                <c:pt idx="8">
                  <c:v>25.756</c:v>
                </c:pt>
                <c:pt idx="9">
                  <c:v>25.654</c:v>
                </c:pt>
                <c:pt idx="10">
                  <c:v>25.642</c:v>
                </c:pt>
                <c:pt idx="11">
                  <c:v>25.52199999999999</c:v>
                </c:pt>
                <c:pt idx="12">
                  <c:v>25.372</c:v>
                </c:pt>
                <c:pt idx="13">
                  <c:v>25.152</c:v>
                </c:pt>
                <c:pt idx="14">
                  <c:v>25.062</c:v>
                </c:pt>
                <c:pt idx="15">
                  <c:v>24.99</c:v>
                </c:pt>
                <c:pt idx="16">
                  <c:v>24.808</c:v>
                </c:pt>
                <c:pt idx="17">
                  <c:v>24.538</c:v>
                </c:pt>
                <c:pt idx="18">
                  <c:v>24.13</c:v>
                </c:pt>
                <c:pt idx="19">
                  <c:v>23.028</c:v>
                </c:pt>
                <c:pt idx="20">
                  <c:v>22.336</c:v>
                </c:pt>
                <c:pt idx="21">
                  <c:v>21.692</c:v>
                </c:pt>
                <c:pt idx="22">
                  <c:v>21.132</c:v>
                </c:pt>
                <c:pt idx="23">
                  <c:v>20.702</c:v>
                </c:pt>
                <c:pt idx="24">
                  <c:v>20.506</c:v>
                </c:pt>
                <c:pt idx="25">
                  <c:v>19.31333333333328</c:v>
                </c:pt>
                <c:pt idx="26">
                  <c:v>18.70333333333323</c:v>
                </c:pt>
                <c:pt idx="27">
                  <c:v>18.14</c:v>
                </c:pt>
                <c:pt idx="28">
                  <c:v>17.76333333333323</c:v>
                </c:pt>
              </c:numCache>
            </c:numRef>
          </c:val>
          <c:smooth val="0"/>
        </c:ser>
        <c:ser>
          <c:idx val="0"/>
          <c:order val="1"/>
          <c:tx>
            <c:strRef>
              <c:f>Sheet1!$D$64</c:f>
              <c:strCache>
                <c:ptCount val="1"/>
                <c:pt idx="0">
                  <c:v>全体</c:v>
                </c:pt>
              </c:strCache>
            </c:strRef>
          </c:tx>
          <c:spPr>
            <a:ln>
              <a:solidFill>
                <a:schemeClr val="accent2"/>
              </a:solidFill>
            </a:ln>
          </c:spPr>
          <c:marker>
            <c:spPr>
              <a:solidFill>
                <a:schemeClr val="accent2"/>
              </a:solidFill>
              <a:ln>
                <a:solidFill>
                  <a:schemeClr val="accent2"/>
                </a:solidFill>
              </a:ln>
            </c:spPr>
          </c:marker>
          <c:cat>
            <c:numRef>
              <c:f>Sheet1!$B$65:$B$93</c:f>
              <c:numCache>
                <c:formatCode>General</c:formatCode>
                <c:ptCount val="29"/>
                <c:pt idx="0">
                  <c:v>1998.9</c:v>
                </c:pt>
                <c:pt idx="1">
                  <c:v>1999.3</c:v>
                </c:pt>
                <c:pt idx="2">
                  <c:v>1999.9</c:v>
                </c:pt>
                <c:pt idx="3">
                  <c:v>2000.3</c:v>
                </c:pt>
                <c:pt idx="4">
                  <c:v>2000.9</c:v>
                </c:pt>
                <c:pt idx="5">
                  <c:v>2001.3</c:v>
                </c:pt>
                <c:pt idx="6">
                  <c:v>2001.9</c:v>
                </c:pt>
                <c:pt idx="7">
                  <c:v>2002.3</c:v>
                </c:pt>
                <c:pt idx="8">
                  <c:v>2002.9</c:v>
                </c:pt>
                <c:pt idx="9">
                  <c:v>2003.3</c:v>
                </c:pt>
                <c:pt idx="10">
                  <c:v>2003.9</c:v>
                </c:pt>
                <c:pt idx="11">
                  <c:v>2004.3</c:v>
                </c:pt>
                <c:pt idx="12">
                  <c:v>2004.9</c:v>
                </c:pt>
                <c:pt idx="13">
                  <c:v>2005.3</c:v>
                </c:pt>
                <c:pt idx="14">
                  <c:v>2005.9</c:v>
                </c:pt>
                <c:pt idx="15">
                  <c:v>2006.3</c:v>
                </c:pt>
                <c:pt idx="16">
                  <c:v>2006.9</c:v>
                </c:pt>
                <c:pt idx="17">
                  <c:v>2007.3</c:v>
                </c:pt>
                <c:pt idx="18">
                  <c:v>2007.9</c:v>
                </c:pt>
                <c:pt idx="19">
                  <c:v>2008.3</c:v>
                </c:pt>
                <c:pt idx="20">
                  <c:v>2008.9</c:v>
                </c:pt>
                <c:pt idx="21">
                  <c:v>2009.3</c:v>
                </c:pt>
                <c:pt idx="22">
                  <c:v>2009.9</c:v>
                </c:pt>
                <c:pt idx="23">
                  <c:v>2010.3</c:v>
                </c:pt>
                <c:pt idx="24">
                  <c:v>2010.9</c:v>
                </c:pt>
                <c:pt idx="25">
                  <c:v>2011.3</c:v>
                </c:pt>
                <c:pt idx="26">
                  <c:v>2011.9</c:v>
                </c:pt>
                <c:pt idx="27">
                  <c:v>2012.3</c:v>
                </c:pt>
                <c:pt idx="28">
                  <c:v>2012.9</c:v>
                </c:pt>
              </c:numCache>
            </c:numRef>
          </c:cat>
          <c:val>
            <c:numRef>
              <c:f>Sheet1!$D$65:$D$93</c:f>
              <c:numCache>
                <c:formatCode>General</c:formatCode>
                <c:ptCount val="29"/>
                <c:pt idx="1">
                  <c:v>26.354</c:v>
                </c:pt>
                <c:pt idx="3">
                  <c:v>26.042</c:v>
                </c:pt>
                <c:pt idx="5">
                  <c:v>25.828</c:v>
                </c:pt>
                <c:pt idx="7">
                  <c:v>25.65</c:v>
                </c:pt>
                <c:pt idx="9">
                  <c:v>25.52199999999999</c:v>
                </c:pt>
                <c:pt idx="11">
                  <c:v>25.152</c:v>
                </c:pt>
                <c:pt idx="13">
                  <c:v>24.936</c:v>
                </c:pt>
                <c:pt idx="15">
                  <c:v>24.536</c:v>
                </c:pt>
                <c:pt idx="17">
                  <c:v>23.028</c:v>
                </c:pt>
                <c:pt idx="19">
                  <c:v>21.692</c:v>
                </c:pt>
                <c:pt idx="21">
                  <c:v>20.702</c:v>
                </c:pt>
                <c:pt idx="23">
                  <c:v>19.31333333333328</c:v>
                </c:pt>
                <c:pt idx="25">
                  <c:v>18.14</c:v>
                </c:pt>
                <c:pt idx="27">
                  <c:v>17.27</c:v>
                </c:pt>
              </c:numCache>
            </c:numRef>
          </c:val>
          <c:smooth val="0"/>
        </c:ser>
        <c:dLbls>
          <c:showLegendKey val="0"/>
          <c:showVal val="0"/>
          <c:showCatName val="0"/>
          <c:showSerName val="0"/>
          <c:showPercent val="0"/>
          <c:showBubbleSize val="0"/>
        </c:dLbls>
        <c:marker val="1"/>
        <c:smooth val="0"/>
        <c:axId val="2104146392"/>
        <c:axId val="-2132711336"/>
      </c:lineChart>
      <c:catAx>
        <c:axId val="2104146392"/>
        <c:scaling>
          <c:orientation val="minMax"/>
        </c:scaling>
        <c:delete val="0"/>
        <c:axPos val="b"/>
        <c:numFmt formatCode="General" sourceLinked="1"/>
        <c:majorTickMark val="none"/>
        <c:minorTickMark val="none"/>
        <c:tickLblPos val="nextTo"/>
        <c:txPr>
          <a:bodyPr/>
          <a:lstStyle/>
          <a:p>
            <a:pPr>
              <a:defRPr sz="800"/>
            </a:pPr>
            <a:endParaRPr lang="ja-JP"/>
          </a:p>
        </c:txPr>
        <c:crossAx val="-2132711336"/>
        <c:crosses val="autoZero"/>
        <c:auto val="1"/>
        <c:lblAlgn val="ctr"/>
        <c:lblOffset val="100"/>
        <c:noMultiLvlLbl val="0"/>
      </c:catAx>
      <c:valAx>
        <c:axId val="-2132711336"/>
        <c:scaling>
          <c:orientation val="minMax"/>
          <c:min val="15.0"/>
        </c:scaling>
        <c:delete val="0"/>
        <c:axPos val="l"/>
        <c:majorGridlines/>
        <c:numFmt formatCode="General" sourceLinked="0"/>
        <c:majorTickMark val="none"/>
        <c:minorTickMark val="none"/>
        <c:tickLblPos val="nextTo"/>
        <c:crossAx val="2104146392"/>
        <c:crosses val="autoZero"/>
        <c:crossBetween val="between"/>
      </c:valAx>
    </c:plotArea>
    <c:legend>
      <c:legendPos val="r"/>
      <c:layout>
        <c:manualLayout>
          <c:xMode val="edge"/>
          <c:yMode val="edge"/>
          <c:x val="0.846169016862242"/>
          <c:y val="0.471544967655405"/>
          <c:w val="0.141997830588699"/>
          <c:h val="0.131731853332934"/>
        </c:manualLayout>
      </c:layout>
      <c:overlay val="0"/>
      <c:txPr>
        <a:bodyPr/>
        <a:lstStyle/>
        <a:p>
          <a:pPr>
            <a:defRPr sz="800"/>
          </a:pPr>
          <a:endParaRPr lang="ja-JP"/>
        </a:p>
      </c:txPr>
    </c:legend>
    <c:plotVisOnly val="1"/>
    <c:dispBlanksAs val="span"/>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300"/>
            </a:pPr>
            <a:r>
              <a:rPr lang="ja-JP" altLang="en-US" sz="1300"/>
              <a:t>大手５社の平均約定金利と貸出残高の散布図</a:t>
            </a:r>
            <a:endParaRPr lang="en-US" altLang="ja-JP" sz="1300"/>
          </a:p>
        </c:rich>
      </c:tx>
      <c:layout>
        <c:manualLayout>
          <c:xMode val="edge"/>
          <c:yMode val="edge"/>
          <c:x val="0.178347623661983"/>
          <c:y val="0.0398256043237314"/>
        </c:manualLayout>
      </c:layout>
      <c:overlay val="0"/>
    </c:title>
    <c:autoTitleDeleted val="0"/>
    <c:plotArea>
      <c:layout>
        <c:manualLayout>
          <c:layoutTarget val="inner"/>
          <c:xMode val="edge"/>
          <c:yMode val="edge"/>
          <c:x val="0.0623073927889191"/>
          <c:y val="0.155642109704538"/>
          <c:w val="0.869617052616474"/>
          <c:h val="0.780644409740045"/>
        </c:manualLayout>
      </c:layout>
      <c:scatterChart>
        <c:scatterStyle val="lineMarker"/>
        <c:varyColors val="0"/>
        <c:ser>
          <c:idx val="0"/>
          <c:order val="0"/>
          <c:tx>
            <c:strRef>
              <c:f>データ!$E$1</c:f>
              <c:strCache>
                <c:ptCount val="1"/>
                <c:pt idx="0">
                  <c:v>irate</c:v>
                </c:pt>
              </c:strCache>
            </c:strRef>
          </c:tx>
          <c:spPr>
            <a:ln w="47625">
              <a:noFill/>
            </a:ln>
          </c:spPr>
          <c:dPt>
            <c:idx val="0"/>
            <c:marker>
              <c:spPr>
                <a:solidFill>
                  <a:schemeClr val="accent3"/>
                </a:solidFill>
                <a:ln>
                  <a:solidFill>
                    <a:schemeClr val="accent3">
                      <a:lumMod val="75000"/>
                    </a:schemeClr>
                  </a:solidFill>
                </a:ln>
              </c:spPr>
            </c:marker>
            <c:bubble3D val="0"/>
          </c:dPt>
          <c:dPt>
            <c:idx val="14"/>
            <c:marker>
              <c:symbol val="star"/>
              <c:size val="12"/>
              <c:spPr>
                <a:solidFill>
                  <a:schemeClr val="accent2"/>
                </a:solidFill>
                <a:ln>
                  <a:solidFill>
                    <a:schemeClr val="accent2"/>
                  </a:solidFill>
                </a:ln>
              </c:spPr>
            </c:marker>
            <c:bubble3D val="0"/>
          </c:dPt>
          <c:dPt>
            <c:idx val="16"/>
            <c:bubble3D val="0"/>
          </c:dPt>
          <c:dPt>
            <c:idx val="28"/>
            <c:marker>
              <c:spPr>
                <a:solidFill>
                  <a:schemeClr val="accent3"/>
                </a:solidFill>
              </c:spPr>
            </c:marker>
            <c:bubble3D val="0"/>
          </c:dPt>
          <c:dLbls>
            <c:dLbl>
              <c:idx val="16"/>
              <c:layout>
                <c:manualLayout>
                  <c:x val="0.0175650455593369"/>
                  <c:y val="0.0369856680536292"/>
                </c:manualLayout>
              </c:layout>
              <c:tx>
                <c:rich>
                  <a:bodyPr/>
                  <a:lstStyle/>
                  <a:p>
                    <a:pPr>
                      <a:defRPr sz="1500" u="sng">
                        <a:solidFill>
                          <a:srgbClr val="FF0000"/>
                        </a:solidFill>
                        <a:uFillTx/>
                      </a:defRPr>
                    </a:pPr>
                    <a:r>
                      <a:rPr lang="en-US" altLang="ja-JP" u="none">
                        <a:solidFill>
                          <a:schemeClr val="tx1"/>
                        </a:solidFill>
                      </a:rPr>
                      <a:t>2006</a:t>
                    </a:r>
                    <a:r>
                      <a:rPr lang="ja-JP" altLang="en-US" u="none" baseline="0">
                        <a:solidFill>
                          <a:schemeClr val="tx1"/>
                        </a:solidFill>
                      </a:rPr>
                      <a:t>年</a:t>
                    </a:r>
                    <a:r>
                      <a:rPr lang="en-US" altLang="ja-JP" u="none" baseline="0">
                        <a:solidFill>
                          <a:schemeClr val="tx1"/>
                        </a:solidFill>
                      </a:rPr>
                      <a:t>3</a:t>
                    </a:r>
                    <a:r>
                      <a:rPr lang="ja-JP" altLang="en-US" u="none" baseline="0">
                        <a:solidFill>
                          <a:schemeClr val="tx1"/>
                        </a:solidFill>
                      </a:rPr>
                      <a:t>月</a:t>
                    </a:r>
                    <a:endParaRPr lang="en-US" altLang="ja-JP" u="none">
                      <a:solidFill>
                        <a:schemeClr val="tx1"/>
                      </a:solidFill>
                    </a:endParaRPr>
                  </a:p>
                  <a:p>
                    <a:pPr>
                      <a:defRPr sz="1500" u="sng">
                        <a:solidFill>
                          <a:srgbClr val="FF0000"/>
                        </a:solidFill>
                        <a:uFillTx/>
                      </a:defRPr>
                    </a:pPr>
                    <a:r>
                      <a:rPr lang="en-US" altLang="ja-JP"/>
                      <a:t>24.99%</a:t>
                    </a:r>
                  </a:p>
                </c:rich>
              </c:tx>
              <c:spPr/>
              <c:showLegendKey val="0"/>
              <c:showVal val="1"/>
              <c:showCatName val="0"/>
              <c:showSerName val="0"/>
              <c:showPercent val="0"/>
              <c:showBubbleSize val="0"/>
            </c:dLbl>
            <c:showLegendKey val="0"/>
            <c:showVal val="0"/>
            <c:showCatName val="0"/>
            <c:showSerName val="0"/>
            <c:showPercent val="0"/>
            <c:showBubbleSize val="0"/>
          </c:dLbls>
          <c:xVal>
            <c:numRef>
              <c:f>データ!$D$2:$D$30</c:f>
              <c:numCache>
                <c:formatCode>General</c:formatCode>
                <c:ptCount val="29"/>
                <c:pt idx="0">
                  <c:v>4.145089E6</c:v>
                </c:pt>
                <c:pt idx="1">
                  <c:v>4.355036E6</c:v>
                </c:pt>
                <c:pt idx="2">
                  <c:v>4.653427E6</c:v>
                </c:pt>
                <c:pt idx="3">
                  <c:v>4.927681E6</c:v>
                </c:pt>
                <c:pt idx="4">
                  <c:v>5.439878E6</c:v>
                </c:pt>
                <c:pt idx="5">
                  <c:v>5.944209E6</c:v>
                </c:pt>
                <c:pt idx="6">
                  <c:v>6.393673E6</c:v>
                </c:pt>
                <c:pt idx="7">
                  <c:v>6.627794E6</c:v>
                </c:pt>
                <c:pt idx="8">
                  <c:v>6.850123E6</c:v>
                </c:pt>
                <c:pt idx="9">
                  <c:v>6.824234E6</c:v>
                </c:pt>
                <c:pt idx="10">
                  <c:v>6.769848E6</c:v>
                </c:pt>
                <c:pt idx="11">
                  <c:v>6.671594E6</c:v>
                </c:pt>
                <c:pt idx="12">
                  <c:v>6.818457E6</c:v>
                </c:pt>
                <c:pt idx="13">
                  <c:v>6.948312E6</c:v>
                </c:pt>
                <c:pt idx="14">
                  <c:v>7.030847E6</c:v>
                </c:pt>
                <c:pt idx="15">
                  <c:v>7.025712E6</c:v>
                </c:pt>
                <c:pt idx="16">
                  <c:v>6.9295E6</c:v>
                </c:pt>
                <c:pt idx="17">
                  <c:v>6.566272E6</c:v>
                </c:pt>
                <c:pt idx="18">
                  <c:v>6.609446E6</c:v>
                </c:pt>
                <c:pt idx="19">
                  <c:v>6.080714E6</c:v>
                </c:pt>
                <c:pt idx="20">
                  <c:v>5.661593E6</c:v>
                </c:pt>
                <c:pt idx="21">
                  <c:v>5.043981E6</c:v>
                </c:pt>
                <c:pt idx="22">
                  <c:v>4.510206E6</c:v>
                </c:pt>
                <c:pt idx="23">
                  <c:v>3.950742E6</c:v>
                </c:pt>
                <c:pt idx="24">
                  <c:v>3.2376E6</c:v>
                </c:pt>
                <c:pt idx="25">
                  <c:v>2.237338E6</c:v>
                </c:pt>
                <c:pt idx="26">
                  <c:v>2.038873E6</c:v>
                </c:pt>
                <c:pt idx="27">
                  <c:v>1.910812E6</c:v>
                </c:pt>
                <c:pt idx="28">
                  <c:v>1.804886E6</c:v>
                </c:pt>
              </c:numCache>
            </c:numRef>
          </c:xVal>
          <c:yVal>
            <c:numRef>
              <c:f>データ!$E$2:$E$30</c:f>
              <c:numCache>
                <c:formatCode>General</c:formatCode>
                <c:ptCount val="29"/>
                <c:pt idx="0">
                  <c:v>26.9</c:v>
                </c:pt>
                <c:pt idx="1">
                  <c:v>26.722</c:v>
                </c:pt>
                <c:pt idx="2">
                  <c:v>26.548</c:v>
                </c:pt>
                <c:pt idx="3">
                  <c:v>26.304</c:v>
                </c:pt>
                <c:pt idx="4">
                  <c:v>26.214</c:v>
                </c:pt>
                <c:pt idx="5">
                  <c:v>26.05</c:v>
                </c:pt>
                <c:pt idx="6">
                  <c:v>25.946</c:v>
                </c:pt>
                <c:pt idx="7">
                  <c:v>25.844</c:v>
                </c:pt>
                <c:pt idx="8">
                  <c:v>25.756</c:v>
                </c:pt>
                <c:pt idx="9">
                  <c:v>25.654</c:v>
                </c:pt>
                <c:pt idx="10">
                  <c:v>25.642</c:v>
                </c:pt>
                <c:pt idx="11">
                  <c:v>25.522</c:v>
                </c:pt>
                <c:pt idx="12">
                  <c:v>25.372</c:v>
                </c:pt>
                <c:pt idx="13">
                  <c:v>25.152</c:v>
                </c:pt>
                <c:pt idx="14">
                  <c:v>25.062</c:v>
                </c:pt>
                <c:pt idx="15">
                  <c:v>24.99</c:v>
                </c:pt>
                <c:pt idx="16">
                  <c:v>24.808</c:v>
                </c:pt>
                <c:pt idx="17">
                  <c:v>24.538</c:v>
                </c:pt>
                <c:pt idx="18">
                  <c:v>24.13</c:v>
                </c:pt>
                <c:pt idx="19">
                  <c:v>23.028</c:v>
                </c:pt>
                <c:pt idx="20">
                  <c:v>22.336</c:v>
                </c:pt>
                <c:pt idx="21">
                  <c:v>21.692</c:v>
                </c:pt>
                <c:pt idx="22">
                  <c:v>21.132</c:v>
                </c:pt>
                <c:pt idx="23">
                  <c:v>20.702</c:v>
                </c:pt>
                <c:pt idx="24">
                  <c:v>20.506</c:v>
                </c:pt>
                <c:pt idx="25">
                  <c:v>19.31333333333328</c:v>
                </c:pt>
                <c:pt idx="26">
                  <c:v>18.70333333333322</c:v>
                </c:pt>
                <c:pt idx="27">
                  <c:v>18.14</c:v>
                </c:pt>
                <c:pt idx="28">
                  <c:v>17.76333333333322</c:v>
                </c:pt>
              </c:numCache>
            </c:numRef>
          </c:yVal>
          <c:smooth val="0"/>
        </c:ser>
        <c:dLbls>
          <c:showLegendKey val="0"/>
          <c:showVal val="0"/>
          <c:showCatName val="0"/>
          <c:showSerName val="0"/>
          <c:showPercent val="0"/>
          <c:showBubbleSize val="0"/>
        </c:dLbls>
        <c:axId val="-2094927176"/>
        <c:axId val="2125967464"/>
      </c:scatterChart>
      <c:valAx>
        <c:axId val="-2094927176"/>
        <c:scaling>
          <c:orientation val="minMax"/>
        </c:scaling>
        <c:delete val="0"/>
        <c:axPos val="b"/>
        <c:numFmt formatCode="General" sourceLinked="1"/>
        <c:majorTickMark val="out"/>
        <c:minorTickMark val="none"/>
        <c:tickLblPos val="nextTo"/>
        <c:crossAx val="2125967464"/>
        <c:crosses val="autoZero"/>
        <c:crossBetween val="midCat"/>
      </c:valAx>
      <c:valAx>
        <c:axId val="2125967464"/>
        <c:scaling>
          <c:orientation val="minMax"/>
          <c:min val="15.0"/>
        </c:scaling>
        <c:delete val="0"/>
        <c:axPos val="l"/>
        <c:majorGridlines/>
        <c:numFmt formatCode="General" sourceLinked="1"/>
        <c:majorTickMark val="out"/>
        <c:minorTickMark val="none"/>
        <c:tickLblPos val="nextTo"/>
        <c:crossAx val="-2094927176"/>
        <c:crosses val="autoZero"/>
        <c:crossBetween val="midCat"/>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ja-JP" altLang="en-US" sz="1300"/>
              <a:t>消費者信用貸出残高と消費者金融貸出残高の推移</a:t>
            </a:r>
            <a:r>
              <a:rPr lang="ja-JP" altLang="en-US"/>
              <a:t>　</a:t>
            </a:r>
          </a:p>
        </c:rich>
      </c:tx>
      <c:layout/>
      <c:overlay val="0"/>
    </c:title>
    <c:autoTitleDeleted val="0"/>
    <c:plotArea>
      <c:layout/>
      <c:barChart>
        <c:barDir val="col"/>
        <c:grouping val="clustered"/>
        <c:varyColors val="0"/>
        <c:ser>
          <c:idx val="1"/>
          <c:order val="1"/>
          <c:tx>
            <c:v>消費者信用貸出残高</c:v>
          </c:tx>
          <c:spPr>
            <a:solidFill>
              <a:schemeClr val="accent1"/>
            </a:solidFill>
            <a:ln>
              <a:solidFill>
                <a:schemeClr val="accent1"/>
              </a:solidFill>
            </a:ln>
          </c:spPr>
          <c:invertIfNegative val="0"/>
          <c:cat>
            <c:numRef>
              <c:f>Graph!$A$16:$A$35</c:f>
              <c:numCache>
                <c:formatCode>General</c:formatCode>
                <c:ptCount val="20"/>
                <c:pt idx="0">
                  <c:v>1991.0</c:v>
                </c:pt>
                <c:pt idx="1">
                  <c:v>1992.0</c:v>
                </c:pt>
                <c:pt idx="2">
                  <c:v>1993.0</c:v>
                </c:pt>
                <c:pt idx="3">
                  <c:v>1994.0</c:v>
                </c:pt>
                <c:pt idx="4">
                  <c:v>1995.0</c:v>
                </c:pt>
                <c:pt idx="5">
                  <c:v>1996.0</c:v>
                </c:pt>
                <c:pt idx="6">
                  <c:v>1997.0</c:v>
                </c:pt>
                <c:pt idx="7">
                  <c:v>1998.0</c:v>
                </c:pt>
                <c:pt idx="8">
                  <c:v>1999.0</c:v>
                </c:pt>
                <c:pt idx="9">
                  <c:v>2000.0</c:v>
                </c:pt>
                <c:pt idx="10">
                  <c:v>2001.0</c:v>
                </c:pt>
                <c:pt idx="11">
                  <c:v>2002.0</c:v>
                </c:pt>
                <c:pt idx="12">
                  <c:v>2003.0</c:v>
                </c:pt>
                <c:pt idx="13">
                  <c:v>2004.0</c:v>
                </c:pt>
                <c:pt idx="14">
                  <c:v>2005.0</c:v>
                </c:pt>
                <c:pt idx="15">
                  <c:v>2006.0</c:v>
                </c:pt>
                <c:pt idx="16">
                  <c:v>2007.0</c:v>
                </c:pt>
                <c:pt idx="17">
                  <c:v>2008.0</c:v>
                </c:pt>
                <c:pt idx="18">
                  <c:v>2009.0</c:v>
                </c:pt>
                <c:pt idx="19">
                  <c:v>2010.0</c:v>
                </c:pt>
              </c:numCache>
            </c:numRef>
          </c:cat>
          <c:val>
            <c:numRef>
              <c:f>Graph!$D$16:$D$35</c:f>
              <c:numCache>
                <c:formatCode>General</c:formatCode>
                <c:ptCount val="20"/>
                <c:pt idx="0">
                  <c:v>6.84199E13</c:v>
                </c:pt>
                <c:pt idx="1">
                  <c:v>7.15383E13</c:v>
                </c:pt>
                <c:pt idx="2">
                  <c:v>7.41048E13</c:v>
                </c:pt>
                <c:pt idx="3">
                  <c:v>7.4911E13</c:v>
                </c:pt>
                <c:pt idx="4">
                  <c:v>7.48005E13</c:v>
                </c:pt>
                <c:pt idx="5">
                  <c:v>7.52407E13</c:v>
                </c:pt>
                <c:pt idx="6">
                  <c:v>7.43335E13</c:v>
                </c:pt>
                <c:pt idx="7">
                  <c:v>7.09823E13</c:v>
                </c:pt>
                <c:pt idx="8">
                  <c:v>6.68243E13</c:v>
                </c:pt>
                <c:pt idx="9">
                  <c:v>6.52247E13</c:v>
                </c:pt>
                <c:pt idx="10">
                  <c:v>6.35927E13</c:v>
                </c:pt>
                <c:pt idx="11">
                  <c:v>6.0775E13</c:v>
                </c:pt>
                <c:pt idx="12">
                  <c:v>5.95118E13</c:v>
                </c:pt>
                <c:pt idx="13">
                  <c:v>5.82415E13</c:v>
                </c:pt>
                <c:pt idx="14">
                  <c:v>5.59394E13</c:v>
                </c:pt>
                <c:pt idx="15">
                  <c:v>5.39659E13</c:v>
                </c:pt>
                <c:pt idx="16">
                  <c:v>5.19272E13</c:v>
                </c:pt>
                <c:pt idx="17">
                  <c:v>4.99658E13</c:v>
                </c:pt>
                <c:pt idx="18">
                  <c:v>4.53559E13</c:v>
                </c:pt>
                <c:pt idx="19">
                  <c:v>4.16775E13</c:v>
                </c:pt>
              </c:numCache>
            </c:numRef>
          </c:val>
        </c:ser>
        <c:dLbls>
          <c:showLegendKey val="0"/>
          <c:showVal val="0"/>
          <c:showCatName val="0"/>
          <c:showSerName val="0"/>
          <c:showPercent val="0"/>
          <c:showBubbleSize val="0"/>
        </c:dLbls>
        <c:gapWidth val="150"/>
        <c:axId val="2128881720"/>
        <c:axId val="2126382680"/>
      </c:barChart>
      <c:lineChart>
        <c:grouping val="standard"/>
        <c:varyColors val="0"/>
        <c:ser>
          <c:idx val="0"/>
          <c:order val="0"/>
          <c:tx>
            <c:v>消費者金融貸出残高</c:v>
          </c:tx>
          <c:spPr>
            <a:ln>
              <a:solidFill>
                <a:schemeClr val="accent2"/>
              </a:solidFill>
            </a:ln>
          </c:spPr>
          <c:marker>
            <c:symbol val="none"/>
          </c:marker>
          <c:cat>
            <c:numRef>
              <c:f>Graph!$A$16:$A$35</c:f>
              <c:numCache>
                <c:formatCode>General</c:formatCode>
                <c:ptCount val="20"/>
                <c:pt idx="0">
                  <c:v>1991.0</c:v>
                </c:pt>
                <c:pt idx="1">
                  <c:v>1992.0</c:v>
                </c:pt>
                <c:pt idx="2">
                  <c:v>1993.0</c:v>
                </c:pt>
                <c:pt idx="3">
                  <c:v>1994.0</c:v>
                </c:pt>
                <c:pt idx="4">
                  <c:v>1995.0</c:v>
                </c:pt>
                <c:pt idx="5">
                  <c:v>1996.0</c:v>
                </c:pt>
                <c:pt idx="6">
                  <c:v>1997.0</c:v>
                </c:pt>
                <c:pt idx="7">
                  <c:v>1998.0</c:v>
                </c:pt>
                <c:pt idx="8">
                  <c:v>1999.0</c:v>
                </c:pt>
                <c:pt idx="9">
                  <c:v>2000.0</c:v>
                </c:pt>
                <c:pt idx="10">
                  <c:v>2001.0</c:v>
                </c:pt>
                <c:pt idx="11">
                  <c:v>2002.0</c:v>
                </c:pt>
                <c:pt idx="12">
                  <c:v>2003.0</c:v>
                </c:pt>
                <c:pt idx="13">
                  <c:v>2004.0</c:v>
                </c:pt>
                <c:pt idx="14">
                  <c:v>2005.0</c:v>
                </c:pt>
                <c:pt idx="15">
                  <c:v>2006.0</c:v>
                </c:pt>
                <c:pt idx="16">
                  <c:v>2007.0</c:v>
                </c:pt>
                <c:pt idx="17">
                  <c:v>2008.0</c:v>
                </c:pt>
                <c:pt idx="18">
                  <c:v>2009.0</c:v>
                </c:pt>
                <c:pt idx="19">
                  <c:v>2010.0</c:v>
                </c:pt>
              </c:numCache>
            </c:numRef>
          </c:cat>
          <c:val>
            <c:numRef>
              <c:f>Graph!$C$16:$C$35</c:f>
              <c:numCache>
                <c:formatCode>General</c:formatCode>
                <c:ptCount val="20"/>
                <c:pt idx="0">
                  <c:v>3.3435E12</c:v>
                </c:pt>
                <c:pt idx="1">
                  <c:v>3.663E12</c:v>
                </c:pt>
                <c:pt idx="2">
                  <c:v>3.997E12</c:v>
                </c:pt>
                <c:pt idx="3">
                  <c:v>4.4982E12</c:v>
                </c:pt>
                <c:pt idx="4">
                  <c:v>5.2082E12</c:v>
                </c:pt>
                <c:pt idx="5">
                  <c:v>5.9634E12</c:v>
                </c:pt>
                <c:pt idx="6">
                  <c:v>6.5179E12</c:v>
                </c:pt>
                <c:pt idx="7">
                  <c:v>7.1371E12</c:v>
                </c:pt>
                <c:pt idx="8">
                  <c:v>7.8586E12</c:v>
                </c:pt>
                <c:pt idx="9">
                  <c:v>8.8489E12</c:v>
                </c:pt>
                <c:pt idx="10">
                  <c:v>9.6918E12</c:v>
                </c:pt>
                <c:pt idx="11">
                  <c:v>1.02357E13</c:v>
                </c:pt>
                <c:pt idx="12">
                  <c:v>1.01755E13</c:v>
                </c:pt>
                <c:pt idx="13">
                  <c:v>1.01571E13</c:v>
                </c:pt>
                <c:pt idx="14">
                  <c:v>9.8862E12</c:v>
                </c:pt>
                <c:pt idx="15">
                  <c:v>9.2107E12</c:v>
                </c:pt>
                <c:pt idx="16">
                  <c:v>8.0536E12</c:v>
                </c:pt>
                <c:pt idx="17">
                  <c:v>6.5354E12</c:v>
                </c:pt>
                <c:pt idx="18">
                  <c:v>5.3132E12</c:v>
                </c:pt>
                <c:pt idx="19">
                  <c:v>4.125E12</c:v>
                </c:pt>
              </c:numCache>
            </c:numRef>
          </c:val>
          <c:smooth val="0"/>
        </c:ser>
        <c:dLbls>
          <c:showLegendKey val="0"/>
          <c:showVal val="0"/>
          <c:showCatName val="0"/>
          <c:showSerName val="0"/>
          <c:showPercent val="0"/>
          <c:showBubbleSize val="0"/>
        </c:dLbls>
        <c:marker val="1"/>
        <c:smooth val="0"/>
        <c:axId val="2129568184"/>
        <c:axId val="-2094706168"/>
      </c:lineChart>
      <c:catAx>
        <c:axId val="2128881720"/>
        <c:scaling>
          <c:orientation val="minMax"/>
        </c:scaling>
        <c:delete val="0"/>
        <c:axPos val="b"/>
        <c:numFmt formatCode="General" sourceLinked="1"/>
        <c:majorTickMark val="none"/>
        <c:minorTickMark val="none"/>
        <c:tickLblPos val="nextTo"/>
        <c:crossAx val="2126382680"/>
        <c:crosses val="autoZero"/>
        <c:auto val="1"/>
        <c:lblAlgn val="ctr"/>
        <c:lblOffset val="100"/>
        <c:noMultiLvlLbl val="0"/>
      </c:catAx>
      <c:valAx>
        <c:axId val="2126382680"/>
        <c:scaling>
          <c:orientation val="minMax"/>
        </c:scaling>
        <c:delete val="0"/>
        <c:axPos val="l"/>
        <c:majorGridlines/>
        <c:numFmt formatCode="General" sourceLinked="1"/>
        <c:majorTickMark val="none"/>
        <c:minorTickMark val="none"/>
        <c:tickLblPos val="nextTo"/>
        <c:crossAx val="2128881720"/>
        <c:crosses val="autoZero"/>
        <c:crossBetween val="between"/>
        <c:dispUnits>
          <c:builtInUnit val="trillions"/>
          <c:dispUnitsLbl>
            <c:layout/>
          </c:dispUnitsLbl>
        </c:dispUnits>
      </c:valAx>
      <c:valAx>
        <c:axId val="-2094706168"/>
        <c:scaling>
          <c:orientation val="minMax"/>
        </c:scaling>
        <c:delete val="0"/>
        <c:axPos val="r"/>
        <c:numFmt formatCode="General" sourceLinked="1"/>
        <c:majorTickMark val="out"/>
        <c:minorTickMark val="none"/>
        <c:tickLblPos val="nextTo"/>
        <c:crossAx val="2129568184"/>
        <c:crosses val="max"/>
        <c:crossBetween val="between"/>
        <c:dispUnits>
          <c:builtInUnit val="trillions"/>
          <c:dispUnitsLbl>
            <c:layout/>
          </c:dispUnitsLbl>
        </c:dispUnits>
      </c:valAx>
      <c:catAx>
        <c:axId val="2129568184"/>
        <c:scaling>
          <c:orientation val="minMax"/>
        </c:scaling>
        <c:delete val="1"/>
        <c:axPos val="b"/>
        <c:numFmt formatCode="General" sourceLinked="1"/>
        <c:majorTickMark val="out"/>
        <c:minorTickMark val="none"/>
        <c:tickLblPos val="nextTo"/>
        <c:crossAx val="-2094706168"/>
        <c:crosses val="autoZero"/>
        <c:auto val="1"/>
        <c:lblAlgn val="ctr"/>
        <c:lblOffset val="100"/>
        <c:noMultiLvlLbl val="0"/>
      </c:catAx>
    </c:plotArea>
    <c:legend>
      <c:legendPos val="r"/>
      <c:layout>
        <c:manualLayout>
          <c:xMode val="edge"/>
          <c:yMode val="edge"/>
          <c:x val="0.693989071038251"/>
          <c:y val="0.423749842771251"/>
          <c:w val="0.29143897996357"/>
          <c:h val="0.3228940152449"/>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ja-JP" altLang="en-US" sz="1200"/>
              <a:t>国内銀行のカードローン等による個人向け貸付残高と消費者金融による信用供与残高の推移（推計）</a:t>
            </a:r>
          </a:p>
        </c:rich>
      </c:tx>
      <c:layout/>
      <c:overlay val="0"/>
    </c:title>
    <c:autoTitleDeleted val="0"/>
    <c:plotArea>
      <c:layout/>
      <c:barChart>
        <c:barDir val="col"/>
        <c:grouping val="stacked"/>
        <c:varyColors val="0"/>
        <c:ser>
          <c:idx val="0"/>
          <c:order val="0"/>
          <c:tx>
            <c:strRef>
              <c:f>Sheet1!$B$1</c:f>
              <c:strCache>
                <c:ptCount val="1"/>
                <c:pt idx="0">
                  <c:v>カードローン残高</c:v>
                </c:pt>
              </c:strCache>
            </c:strRef>
          </c:tx>
          <c:invertIfNegative val="0"/>
          <c:cat>
            <c:numRef>
              <c:f>Sheet1!$A$2:$A$21</c:f>
              <c:numCache>
                <c:formatCode>General</c:formatCode>
                <c:ptCount val="20"/>
                <c:pt idx="0">
                  <c:v>1991.0</c:v>
                </c:pt>
                <c:pt idx="1">
                  <c:v>1992.0</c:v>
                </c:pt>
                <c:pt idx="2">
                  <c:v>1993.0</c:v>
                </c:pt>
                <c:pt idx="3">
                  <c:v>1994.0</c:v>
                </c:pt>
                <c:pt idx="4">
                  <c:v>1995.0</c:v>
                </c:pt>
                <c:pt idx="5">
                  <c:v>1996.0</c:v>
                </c:pt>
                <c:pt idx="6">
                  <c:v>1997.0</c:v>
                </c:pt>
                <c:pt idx="7">
                  <c:v>1998.0</c:v>
                </c:pt>
                <c:pt idx="8">
                  <c:v>1999.0</c:v>
                </c:pt>
                <c:pt idx="9">
                  <c:v>2000.0</c:v>
                </c:pt>
                <c:pt idx="10">
                  <c:v>2001.0</c:v>
                </c:pt>
                <c:pt idx="11">
                  <c:v>2002.0</c:v>
                </c:pt>
                <c:pt idx="12">
                  <c:v>2003.0</c:v>
                </c:pt>
                <c:pt idx="13">
                  <c:v>2004.0</c:v>
                </c:pt>
                <c:pt idx="14">
                  <c:v>2005.0</c:v>
                </c:pt>
                <c:pt idx="15">
                  <c:v>2006.0</c:v>
                </c:pt>
                <c:pt idx="16">
                  <c:v>2007.0</c:v>
                </c:pt>
                <c:pt idx="17">
                  <c:v>2008.0</c:v>
                </c:pt>
                <c:pt idx="18">
                  <c:v>2009.0</c:v>
                </c:pt>
                <c:pt idx="19">
                  <c:v>2010.0</c:v>
                </c:pt>
              </c:numCache>
            </c:numRef>
          </c:cat>
          <c:val>
            <c:numRef>
              <c:f>Sheet1!$B$2:$B$21</c:f>
              <c:numCache>
                <c:formatCode>#,##0_ </c:formatCode>
                <c:ptCount val="20"/>
                <c:pt idx="0">
                  <c:v>76084.0</c:v>
                </c:pt>
                <c:pt idx="1">
                  <c:v>79967.0</c:v>
                </c:pt>
                <c:pt idx="2">
                  <c:v>77137.0</c:v>
                </c:pt>
                <c:pt idx="3">
                  <c:v>72670.0</c:v>
                </c:pt>
                <c:pt idx="4">
                  <c:v>66654.0</c:v>
                </c:pt>
                <c:pt idx="5">
                  <c:v>62788.0</c:v>
                </c:pt>
                <c:pt idx="6">
                  <c:v>60204.0</c:v>
                </c:pt>
                <c:pt idx="7">
                  <c:v>54697.0</c:v>
                </c:pt>
                <c:pt idx="8">
                  <c:v>47214.0</c:v>
                </c:pt>
                <c:pt idx="9">
                  <c:v>46644.0</c:v>
                </c:pt>
                <c:pt idx="10">
                  <c:v>43566.0</c:v>
                </c:pt>
                <c:pt idx="11">
                  <c:v>41805.0</c:v>
                </c:pt>
                <c:pt idx="12">
                  <c:v>39084.0</c:v>
                </c:pt>
                <c:pt idx="13">
                  <c:v>36155.0</c:v>
                </c:pt>
                <c:pt idx="14">
                  <c:v>34569.0</c:v>
                </c:pt>
                <c:pt idx="15">
                  <c:v>34148.0</c:v>
                </c:pt>
                <c:pt idx="16">
                  <c:v>32867.0</c:v>
                </c:pt>
                <c:pt idx="17">
                  <c:v>32563.0</c:v>
                </c:pt>
                <c:pt idx="18">
                  <c:v>32530.0</c:v>
                </c:pt>
                <c:pt idx="19">
                  <c:v>32061.0</c:v>
                </c:pt>
              </c:numCache>
            </c:numRef>
          </c:val>
        </c:ser>
        <c:ser>
          <c:idx val="1"/>
          <c:order val="1"/>
          <c:tx>
            <c:strRef>
              <c:f>Sheet1!$C$1</c:f>
              <c:strCache>
                <c:ptCount val="1"/>
                <c:pt idx="0">
                  <c:v>消費者金融残高</c:v>
                </c:pt>
              </c:strCache>
            </c:strRef>
          </c:tx>
          <c:invertIfNegative val="0"/>
          <c:cat>
            <c:numRef>
              <c:f>Sheet1!$A$2:$A$21</c:f>
              <c:numCache>
                <c:formatCode>General</c:formatCode>
                <c:ptCount val="20"/>
                <c:pt idx="0">
                  <c:v>1991.0</c:v>
                </c:pt>
                <c:pt idx="1">
                  <c:v>1992.0</c:v>
                </c:pt>
                <c:pt idx="2">
                  <c:v>1993.0</c:v>
                </c:pt>
                <c:pt idx="3">
                  <c:v>1994.0</c:v>
                </c:pt>
                <c:pt idx="4">
                  <c:v>1995.0</c:v>
                </c:pt>
                <c:pt idx="5">
                  <c:v>1996.0</c:v>
                </c:pt>
                <c:pt idx="6">
                  <c:v>1997.0</c:v>
                </c:pt>
                <c:pt idx="7">
                  <c:v>1998.0</c:v>
                </c:pt>
                <c:pt idx="8">
                  <c:v>1999.0</c:v>
                </c:pt>
                <c:pt idx="9">
                  <c:v>2000.0</c:v>
                </c:pt>
                <c:pt idx="10">
                  <c:v>2001.0</c:v>
                </c:pt>
                <c:pt idx="11">
                  <c:v>2002.0</c:v>
                </c:pt>
                <c:pt idx="12">
                  <c:v>2003.0</c:v>
                </c:pt>
                <c:pt idx="13">
                  <c:v>2004.0</c:v>
                </c:pt>
                <c:pt idx="14">
                  <c:v>2005.0</c:v>
                </c:pt>
                <c:pt idx="15">
                  <c:v>2006.0</c:v>
                </c:pt>
                <c:pt idx="16">
                  <c:v>2007.0</c:v>
                </c:pt>
                <c:pt idx="17">
                  <c:v>2008.0</c:v>
                </c:pt>
                <c:pt idx="18">
                  <c:v>2009.0</c:v>
                </c:pt>
                <c:pt idx="19">
                  <c:v>2010.0</c:v>
                </c:pt>
              </c:numCache>
            </c:numRef>
          </c:cat>
          <c:val>
            <c:numRef>
              <c:f>Sheet1!$C$2:$C$21</c:f>
              <c:numCache>
                <c:formatCode>General</c:formatCode>
                <c:ptCount val="20"/>
                <c:pt idx="0">
                  <c:v>33435.0</c:v>
                </c:pt>
                <c:pt idx="1">
                  <c:v>36630.0</c:v>
                </c:pt>
                <c:pt idx="2">
                  <c:v>39970.0</c:v>
                </c:pt>
                <c:pt idx="3">
                  <c:v>44982.0</c:v>
                </c:pt>
                <c:pt idx="4">
                  <c:v>52082.0</c:v>
                </c:pt>
                <c:pt idx="5">
                  <c:v>59634.0</c:v>
                </c:pt>
                <c:pt idx="6">
                  <c:v>65179.0</c:v>
                </c:pt>
                <c:pt idx="7">
                  <c:v>71371.0</c:v>
                </c:pt>
                <c:pt idx="8">
                  <c:v>78586.0</c:v>
                </c:pt>
                <c:pt idx="9">
                  <c:v>88489.0</c:v>
                </c:pt>
                <c:pt idx="10">
                  <c:v>96918.0</c:v>
                </c:pt>
                <c:pt idx="11">
                  <c:v>102357.0</c:v>
                </c:pt>
                <c:pt idx="12">
                  <c:v>101755.0</c:v>
                </c:pt>
                <c:pt idx="13">
                  <c:v>101571.0</c:v>
                </c:pt>
                <c:pt idx="14">
                  <c:v>98862.0</c:v>
                </c:pt>
                <c:pt idx="15">
                  <c:v>92107.0</c:v>
                </c:pt>
                <c:pt idx="16">
                  <c:v>80536.0</c:v>
                </c:pt>
                <c:pt idx="17">
                  <c:v>65354.0</c:v>
                </c:pt>
                <c:pt idx="18">
                  <c:v>53132.0</c:v>
                </c:pt>
                <c:pt idx="19">
                  <c:v>41250.0</c:v>
                </c:pt>
              </c:numCache>
            </c:numRef>
          </c:val>
        </c:ser>
        <c:dLbls>
          <c:showLegendKey val="0"/>
          <c:showVal val="0"/>
          <c:showCatName val="0"/>
          <c:showSerName val="0"/>
          <c:showPercent val="0"/>
          <c:showBubbleSize val="0"/>
        </c:dLbls>
        <c:gapWidth val="55"/>
        <c:overlap val="100"/>
        <c:axId val="2124181640"/>
        <c:axId val="2129570008"/>
      </c:barChart>
      <c:lineChart>
        <c:grouping val="standard"/>
        <c:varyColors val="0"/>
        <c:ser>
          <c:idx val="2"/>
          <c:order val="2"/>
          <c:tx>
            <c:strRef>
              <c:f>Sheet1!$D$1</c:f>
              <c:strCache>
                <c:ptCount val="1"/>
                <c:pt idx="0">
                  <c:v>カードローンシェア</c:v>
                </c:pt>
              </c:strCache>
            </c:strRef>
          </c:tx>
          <c:marker>
            <c:symbol val="none"/>
          </c:marker>
          <c:cat>
            <c:numRef>
              <c:f>Sheet1!$A$2:$A$21</c:f>
              <c:numCache>
                <c:formatCode>General</c:formatCode>
                <c:ptCount val="20"/>
                <c:pt idx="0">
                  <c:v>1991.0</c:v>
                </c:pt>
                <c:pt idx="1">
                  <c:v>1992.0</c:v>
                </c:pt>
                <c:pt idx="2">
                  <c:v>1993.0</c:v>
                </c:pt>
                <c:pt idx="3">
                  <c:v>1994.0</c:v>
                </c:pt>
                <c:pt idx="4">
                  <c:v>1995.0</c:v>
                </c:pt>
                <c:pt idx="5">
                  <c:v>1996.0</c:v>
                </c:pt>
                <c:pt idx="6">
                  <c:v>1997.0</c:v>
                </c:pt>
                <c:pt idx="7">
                  <c:v>1998.0</c:v>
                </c:pt>
                <c:pt idx="8">
                  <c:v>1999.0</c:v>
                </c:pt>
                <c:pt idx="9">
                  <c:v>2000.0</c:v>
                </c:pt>
                <c:pt idx="10">
                  <c:v>2001.0</c:v>
                </c:pt>
                <c:pt idx="11">
                  <c:v>2002.0</c:v>
                </c:pt>
                <c:pt idx="12">
                  <c:v>2003.0</c:v>
                </c:pt>
                <c:pt idx="13">
                  <c:v>2004.0</c:v>
                </c:pt>
                <c:pt idx="14">
                  <c:v>2005.0</c:v>
                </c:pt>
                <c:pt idx="15">
                  <c:v>2006.0</c:v>
                </c:pt>
                <c:pt idx="16">
                  <c:v>2007.0</c:v>
                </c:pt>
                <c:pt idx="17">
                  <c:v>2008.0</c:v>
                </c:pt>
                <c:pt idx="18">
                  <c:v>2009.0</c:v>
                </c:pt>
                <c:pt idx="19">
                  <c:v>2010.0</c:v>
                </c:pt>
              </c:numCache>
            </c:numRef>
          </c:cat>
          <c:val>
            <c:numRef>
              <c:f>Sheet1!$D$2:$D$21</c:f>
              <c:numCache>
                <c:formatCode>General</c:formatCode>
                <c:ptCount val="20"/>
                <c:pt idx="0">
                  <c:v>0.900055599397374</c:v>
                </c:pt>
                <c:pt idx="1">
                  <c:v>0.893329528180457</c:v>
                </c:pt>
                <c:pt idx="2">
                  <c:v>0.881170752010465</c:v>
                </c:pt>
                <c:pt idx="3">
                  <c:v>0.863171374947908</c:v>
                </c:pt>
                <c:pt idx="4">
                  <c:v>0.839532418875784</c:v>
                </c:pt>
                <c:pt idx="5">
                  <c:v>0.814879429806045</c:v>
                </c:pt>
                <c:pt idx="6">
                  <c:v>0.794437295790284</c:v>
                </c:pt>
                <c:pt idx="7">
                  <c:v>0.764334701451879</c:v>
                </c:pt>
                <c:pt idx="8">
                  <c:v>0.734992901535359</c:v>
                </c:pt>
                <c:pt idx="9">
                  <c:v>0.703633866970326</c:v>
                </c:pt>
                <c:pt idx="10">
                  <c:v>0.673358925014576</c:v>
                </c:pt>
                <c:pt idx="11">
                  <c:v>0.644498702778173</c:v>
                </c:pt>
                <c:pt idx="12">
                  <c:v>0.637549778800464</c:v>
                </c:pt>
                <c:pt idx="13">
                  <c:v>0.635117076079693</c:v>
                </c:pt>
                <c:pt idx="14">
                  <c:v>0.627125803835782</c:v>
                </c:pt>
                <c:pt idx="15">
                  <c:v>0.63462797164516</c:v>
                </c:pt>
                <c:pt idx="16">
                  <c:v>0.65267343471023</c:v>
                </c:pt>
                <c:pt idx="17">
                  <c:v>0.706271517047344</c:v>
                </c:pt>
                <c:pt idx="18">
                  <c:v>0.733394884866853</c:v>
                </c:pt>
                <c:pt idx="19">
                  <c:v>0.771904116785092</c:v>
                </c:pt>
              </c:numCache>
            </c:numRef>
          </c:val>
          <c:smooth val="0"/>
        </c:ser>
        <c:dLbls>
          <c:showLegendKey val="0"/>
          <c:showVal val="0"/>
          <c:showCatName val="0"/>
          <c:showSerName val="0"/>
          <c:showPercent val="0"/>
          <c:showBubbleSize val="0"/>
        </c:dLbls>
        <c:marker val="1"/>
        <c:smooth val="0"/>
        <c:axId val="2127416616"/>
        <c:axId val="-2138577928"/>
      </c:lineChart>
      <c:catAx>
        <c:axId val="2124181640"/>
        <c:scaling>
          <c:orientation val="minMax"/>
        </c:scaling>
        <c:delete val="0"/>
        <c:axPos val="b"/>
        <c:numFmt formatCode="General" sourceLinked="1"/>
        <c:majorTickMark val="none"/>
        <c:minorTickMark val="none"/>
        <c:tickLblPos val="nextTo"/>
        <c:crossAx val="2129570008"/>
        <c:crosses val="autoZero"/>
        <c:auto val="1"/>
        <c:lblAlgn val="ctr"/>
        <c:lblOffset val="100"/>
        <c:noMultiLvlLbl val="0"/>
      </c:catAx>
      <c:valAx>
        <c:axId val="2129570008"/>
        <c:scaling>
          <c:orientation val="minMax"/>
        </c:scaling>
        <c:delete val="0"/>
        <c:axPos val="l"/>
        <c:majorGridlines/>
        <c:numFmt formatCode="#,##0_ " sourceLinked="1"/>
        <c:majorTickMark val="none"/>
        <c:minorTickMark val="none"/>
        <c:tickLblPos val="nextTo"/>
        <c:crossAx val="2124181640"/>
        <c:crosses val="autoZero"/>
        <c:crossBetween val="between"/>
      </c:valAx>
      <c:valAx>
        <c:axId val="-2138577928"/>
        <c:scaling>
          <c:orientation val="minMax"/>
          <c:min val="0.5"/>
        </c:scaling>
        <c:delete val="0"/>
        <c:axPos val="r"/>
        <c:numFmt formatCode="0.0%" sourceLinked="0"/>
        <c:majorTickMark val="out"/>
        <c:minorTickMark val="none"/>
        <c:tickLblPos val="nextTo"/>
        <c:crossAx val="2127416616"/>
        <c:crosses val="max"/>
        <c:crossBetween val="between"/>
      </c:valAx>
      <c:catAx>
        <c:axId val="2127416616"/>
        <c:scaling>
          <c:orientation val="minMax"/>
        </c:scaling>
        <c:delete val="1"/>
        <c:axPos val="b"/>
        <c:numFmt formatCode="General" sourceLinked="1"/>
        <c:majorTickMark val="out"/>
        <c:minorTickMark val="none"/>
        <c:tickLblPos val="nextTo"/>
        <c:crossAx val="-2138577928"/>
        <c:crosses val="autoZero"/>
        <c:auto val="1"/>
        <c:lblAlgn val="ctr"/>
        <c:lblOffset val="100"/>
        <c:noMultiLvlLbl val="0"/>
      </c:catAx>
    </c:plotArea>
    <c:legend>
      <c:legendPos val="r"/>
      <c:layout/>
      <c:overlay val="0"/>
      <c:txPr>
        <a:bodyPr/>
        <a:lstStyle/>
        <a:p>
          <a:pPr>
            <a:defRPr sz="800"/>
          </a:pPr>
          <a:endParaRPr lang="ja-JP"/>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ja-JP" altLang="en-US"/>
              <a:t>自己破産申請件数の推移</a:t>
            </a:r>
            <a:endParaRPr lang="en-US" altLang="ja-JP"/>
          </a:p>
        </c:rich>
      </c:tx>
      <c:layout/>
      <c:overlay val="0"/>
    </c:title>
    <c:autoTitleDeleted val="0"/>
    <c:plotArea>
      <c:layout/>
      <c:lineChart>
        <c:grouping val="standard"/>
        <c:varyColors val="0"/>
        <c:ser>
          <c:idx val="0"/>
          <c:order val="0"/>
          <c:marker>
            <c:symbol val="none"/>
          </c:marker>
          <c:cat>
            <c:strRef>
              <c:f>Report!$P$24:$P$37</c:f>
              <c:strCache>
                <c:ptCount val="14"/>
                <c:pt idx="0">
                  <c:v>平成１０年度</c:v>
                </c:pt>
                <c:pt idx="1">
                  <c:v>平成１１年度</c:v>
                </c:pt>
                <c:pt idx="2">
                  <c:v>平成１２年度</c:v>
                </c:pt>
                <c:pt idx="3">
                  <c:v>平成１３年度</c:v>
                </c:pt>
                <c:pt idx="4">
                  <c:v>平成１４年度</c:v>
                </c:pt>
                <c:pt idx="5">
                  <c:v>平成１５年度</c:v>
                </c:pt>
                <c:pt idx="6">
                  <c:v>平成１６年度</c:v>
                </c:pt>
                <c:pt idx="7">
                  <c:v>平成１７年度</c:v>
                </c:pt>
                <c:pt idx="8">
                  <c:v>平成１８年度</c:v>
                </c:pt>
                <c:pt idx="9">
                  <c:v>平成１９年度</c:v>
                </c:pt>
                <c:pt idx="10">
                  <c:v>平成２０年度</c:v>
                </c:pt>
                <c:pt idx="11">
                  <c:v>平成２１年度</c:v>
                </c:pt>
                <c:pt idx="12">
                  <c:v>平成２２年度</c:v>
                </c:pt>
                <c:pt idx="13">
                  <c:v>平成２３年度</c:v>
                </c:pt>
              </c:strCache>
            </c:strRef>
          </c:cat>
          <c:val>
            <c:numRef>
              <c:f>Report!$Q$24:$Q$37</c:f>
              <c:numCache>
                <c:formatCode>General</c:formatCode>
                <c:ptCount val="14"/>
                <c:pt idx="0" formatCode="#,##0">
                  <c:v>105468.0</c:v>
                </c:pt>
                <c:pt idx="1">
                  <c:v>122741.0</c:v>
                </c:pt>
                <c:pt idx="2">
                  <c:v>139281.0</c:v>
                </c:pt>
                <c:pt idx="3">
                  <c:v>160419.0</c:v>
                </c:pt>
                <c:pt idx="4">
                  <c:v>214633.0</c:v>
                </c:pt>
                <c:pt idx="5">
                  <c:v>242377.0</c:v>
                </c:pt>
                <c:pt idx="6">
                  <c:v>211402.0</c:v>
                </c:pt>
                <c:pt idx="7">
                  <c:v>184294.0</c:v>
                </c:pt>
                <c:pt idx="8">
                  <c:v>165917.0</c:v>
                </c:pt>
                <c:pt idx="9">
                  <c:v>148276.0</c:v>
                </c:pt>
                <c:pt idx="10">
                  <c:v>129508.0</c:v>
                </c:pt>
                <c:pt idx="11">
                  <c:v>126265.0</c:v>
                </c:pt>
                <c:pt idx="12">
                  <c:v>120930.0</c:v>
                </c:pt>
                <c:pt idx="13">
                  <c:v>110449.0</c:v>
                </c:pt>
              </c:numCache>
            </c:numRef>
          </c:val>
          <c:smooth val="0"/>
        </c:ser>
        <c:dLbls>
          <c:showLegendKey val="0"/>
          <c:showVal val="0"/>
          <c:showCatName val="0"/>
          <c:showSerName val="0"/>
          <c:showPercent val="0"/>
          <c:showBubbleSize val="0"/>
        </c:dLbls>
        <c:marker val="1"/>
        <c:smooth val="0"/>
        <c:axId val="-2138808328"/>
        <c:axId val="-2132189528"/>
      </c:lineChart>
      <c:catAx>
        <c:axId val="-2138808328"/>
        <c:scaling>
          <c:orientation val="minMax"/>
        </c:scaling>
        <c:delete val="0"/>
        <c:axPos val="b"/>
        <c:majorTickMark val="none"/>
        <c:minorTickMark val="none"/>
        <c:tickLblPos val="nextTo"/>
        <c:crossAx val="-2132189528"/>
        <c:crosses val="autoZero"/>
        <c:auto val="1"/>
        <c:lblAlgn val="ctr"/>
        <c:lblOffset val="100"/>
        <c:noMultiLvlLbl val="0"/>
      </c:catAx>
      <c:valAx>
        <c:axId val="-2132189528"/>
        <c:scaling>
          <c:orientation val="minMax"/>
        </c:scaling>
        <c:delete val="0"/>
        <c:axPos val="l"/>
        <c:majorGridlines/>
        <c:numFmt formatCode="#,##0" sourceLinked="1"/>
        <c:majorTickMark val="none"/>
        <c:minorTickMark val="none"/>
        <c:tickLblPos val="nextTo"/>
        <c:crossAx val="-2138808328"/>
        <c:crosses val="autoZero"/>
        <c:crossBetween val="between"/>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'２－11（ヤミ金事犯の検挙状況）'!$C$26</c:f>
              <c:strCache>
                <c:ptCount val="1"/>
                <c:pt idx="0">
                  <c:v>ヤミ金融事犯の検挙事件数</c:v>
                </c:pt>
              </c:strCache>
            </c:strRef>
          </c:tx>
          <c:marker>
            <c:symbol val="none"/>
          </c:marker>
          <c:cat>
            <c:strRef>
              <c:f>'２－11（ヤミ金事犯の検挙状況）'!$B$27:$B$39</c:f>
              <c:strCache>
                <c:ptCount val="13"/>
                <c:pt idx="0">
                  <c:v>平成11年度</c:v>
                </c:pt>
                <c:pt idx="1">
                  <c:v>平成12年度</c:v>
                </c:pt>
                <c:pt idx="2">
                  <c:v>平成13年度</c:v>
                </c:pt>
                <c:pt idx="3">
                  <c:v>平成14年度</c:v>
                </c:pt>
                <c:pt idx="4">
                  <c:v>平成15年度</c:v>
                </c:pt>
                <c:pt idx="5">
                  <c:v>平成16年度</c:v>
                </c:pt>
                <c:pt idx="6">
                  <c:v>平成17年度</c:v>
                </c:pt>
                <c:pt idx="7">
                  <c:v>平成18年度</c:v>
                </c:pt>
                <c:pt idx="8">
                  <c:v>平成19年度</c:v>
                </c:pt>
                <c:pt idx="9">
                  <c:v>平成20年度</c:v>
                </c:pt>
                <c:pt idx="10">
                  <c:v>平成21年度</c:v>
                </c:pt>
                <c:pt idx="11">
                  <c:v>平成22年度</c:v>
                </c:pt>
                <c:pt idx="12">
                  <c:v>平成23年度</c:v>
                </c:pt>
              </c:strCache>
            </c:strRef>
          </c:cat>
          <c:val>
            <c:numRef>
              <c:f>'２－11（ヤミ金事犯の検挙状況）'!$C$27:$C$39</c:f>
              <c:numCache>
                <c:formatCode>General</c:formatCode>
                <c:ptCount val="13"/>
                <c:pt idx="0">
                  <c:v>149.0</c:v>
                </c:pt>
                <c:pt idx="1">
                  <c:v>168.0</c:v>
                </c:pt>
                <c:pt idx="2">
                  <c:v>210.0</c:v>
                </c:pt>
                <c:pt idx="3">
                  <c:v>238.0</c:v>
                </c:pt>
                <c:pt idx="4">
                  <c:v>556.0</c:v>
                </c:pt>
                <c:pt idx="5">
                  <c:v>432.0</c:v>
                </c:pt>
                <c:pt idx="6">
                  <c:v>339.0</c:v>
                </c:pt>
                <c:pt idx="7">
                  <c:v>323.0</c:v>
                </c:pt>
                <c:pt idx="8">
                  <c:v>488.0</c:v>
                </c:pt>
                <c:pt idx="9">
                  <c:v>440.0</c:v>
                </c:pt>
                <c:pt idx="10">
                  <c:v>444.0</c:v>
                </c:pt>
                <c:pt idx="11">
                  <c:v>395.0</c:v>
                </c:pt>
                <c:pt idx="12">
                  <c:v>366.0</c:v>
                </c:pt>
              </c:numCache>
            </c:numRef>
          </c:val>
          <c:smooth val="0"/>
        </c:ser>
        <c:dLbls>
          <c:showLegendKey val="0"/>
          <c:showVal val="0"/>
          <c:showCatName val="0"/>
          <c:showSerName val="0"/>
          <c:showPercent val="0"/>
          <c:showBubbleSize val="0"/>
        </c:dLbls>
        <c:marker val="1"/>
        <c:smooth val="0"/>
        <c:axId val="2147029336"/>
        <c:axId val="-2132127176"/>
      </c:lineChart>
      <c:catAx>
        <c:axId val="2147029336"/>
        <c:scaling>
          <c:orientation val="minMax"/>
        </c:scaling>
        <c:delete val="0"/>
        <c:axPos val="b"/>
        <c:numFmt formatCode="General" sourceLinked="1"/>
        <c:majorTickMark val="out"/>
        <c:minorTickMark val="none"/>
        <c:tickLblPos val="nextTo"/>
        <c:crossAx val="-2132127176"/>
        <c:crosses val="autoZero"/>
        <c:auto val="1"/>
        <c:lblAlgn val="ctr"/>
        <c:lblOffset val="100"/>
        <c:noMultiLvlLbl val="0"/>
      </c:catAx>
      <c:valAx>
        <c:axId val="-2132127176"/>
        <c:scaling>
          <c:orientation val="minMax"/>
        </c:scaling>
        <c:delete val="0"/>
        <c:axPos val="l"/>
        <c:majorGridlines/>
        <c:numFmt formatCode="General" sourceLinked="1"/>
        <c:majorTickMark val="out"/>
        <c:minorTickMark val="none"/>
        <c:tickLblPos val="nextTo"/>
        <c:crossAx val="2147029336"/>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0.01938</cdr:x>
      <cdr:y>0.04</cdr:y>
    </cdr:from>
    <cdr:to>
      <cdr:x>0.13667</cdr:x>
      <cdr:y>0.10583</cdr:y>
    </cdr:to>
    <cdr:sp macro="" textlink="">
      <cdr:nvSpPr>
        <cdr:cNvPr id="2" name="テキスト 1"/>
        <cdr:cNvSpPr txBox="1"/>
      </cdr:nvSpPr>
      <cdr:spPr>
        <a:xfrm xmlns:a="http://schemas.openxmlformats.org/drawingml/2006/main">
          <a:off x="113723" y="126010"/>
          <a:ext cx="688282" cy="2073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700"/>
            <a:t>単位</a:t>
          </a:r>
          <a:r>
            <a:rPr lang="en-US" altLang="ja-JP" sz="700"/>
            <a:t>:</a:t>
          </a:r>
          <a:r>
            <a:rPr lang="ja-JP" altLang="en-US" sz="700"/>
            <a:t>億円</a:t>
          </a:r>
          <a:endParaRPr lang="en-US" altLang="ja-JP" sz="700"/>
        </a:p>
        <a:p xmlns:a="http://schemas.openxmlformats.org/drawingml/2006/main">
          <a:endParaRPr lang="ja-JP" altLang="en-US" sz="7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0.05667</cdr:y>
    </cdr:from>
    <cdr:to>
      <cdr:x>0.12493</cdr:x>
      <cdr:y>0.12536</cdr:y>
    </cdr:to>
    <cdr:sp macro="" textlink="">
      <cdr:nvSpPr>
        <cdr:cNvPr id="2" name="テキスト 1"/>
        <cdr:cNvSpPr txBox="1"/>
      </cdr:nvSpPr>
      <cdr:spPr>
        <a:xfrm xmlns:a="http://schemas.openxmlformats.org/drawingml/2006/main">
          <a:off x="-721360" y="188595"/>
          <a:ext cx="685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単位：％</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0.0683</cdr:y>
    </cdr:from>
    <cdr:to>
      <cdr:x>0.11412</cdr:x>
      <cdr:y>0.16122</cdr:y>
    </cdr:to>
    <cdr:sp macro="" textlink="">
      <cdr:nvSpPr>
        <cdr:cNvPr id="2" name="テキスト 1"/>
        <cdr:cNvSpPr txBox="1"/>
      </cdr:nvSpPr>
      <cdr:spPr>
        <a:xfrm xmlns:a="http://schemas.openxmlformats.org/drawingml/2006/main">
          <a:off x="-812800" y="280035"/>
          <a:ext cx="68580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700"/>
            <a:t>単位：</a:t>
          </a:r>
          <a:r>
            <a:rPr lang="en-US" altLang="ja-JP" sz="700"/>
            <a:t>%</a:t>
          </a:r>
          <a:endParaRPr lang="ja-JP" altLang="en-US" sz="700"/>
        </a:p>
      </cdr:txBody>
    </cdr:sp>
  </cdr:relSizeAnchor>
  <cdr:relSizeAnchor xmlns:cdr="http://schemas.openxmlformats.org/drawingml/2006/chartDrawing">
    <cdr:from>
      <cdr:x>0.88134</cdr:x>
      <cdr:y>0.87363</cdr:y>
    </cdr:from>
    <cdr:to>
      <cdr:x>0.99546</cdr:x>
      <cdr:y>0.93557</cdr:y>
    </cdr:to>
    <cdr:sp macro="" textlink="">
      <cdr:nvSpPr>
        <cdr:cNvPr id="3" name="テキスト 2"/>
        <cdr:cNvSpPr txBox="1"/>
      </cdr:nvSpPr>
      <cdr:spPr>
        <a:xfrm xmlns:a="http://schemas.openxmlformats.org/drawingml/2006/main">
          <a:off x="5296535" y="3582035"/>
          <a:ext cx="685800" cy="25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単位</a:t>
          </a:r>
          <a:r>
            <a:rPr lang="en-US" altLang="ja-JP" sz="800"/>
            <a:t>:</a:t>
          </a:r>
          <a:r>
            <a:rPr lang="ja-JP" altLang="en-US" sz="800"/>
            <a:t>億円</a:t>
          </a:r>
        </a:p>
      </cdr:txBody>
    </cdr:sp>
  </cdr:relSizeAnchor>
  <cdr:relSizeAnchor xmlns:cdr="http://schemas.openxmlformats.org/drawingml/2006/chartDrawing">
    <cdr:from>
      <cdr:x>0.41301</cdr:x>
      <cdr:y>0.18346</cdr:y>
    </cdr:from>
    <cdr:to>
      <cdr:x>0.58664</cdr:x>
      <cdr:y>0.29981</cdr:y>
    </cdr:to>
    <cdr:sp macro="" textlink="">
      <cdr:nvSpPr>
        <cdr:cNvPr id="4" name="テキスト 3"/>
        <cdr:cNvSpPr txBox="1"/>
      </cdr:nvSpPr>
      <cdr:spPr>
        <a:xfrm xmlns:a="http://schemas.openxmlformats.org/drawingml/2006/main">
          <a:off x="2378991" y="720873"/>
          <a:ext cx="1000125"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t>1998</a:t>
          </a:r>
          <a:r>
            <a:rPr lang="ja-JP" altLang="en-US" sz="1100"/>
            <a:t>年</a:t>
          </a:r>
          <a:r>
            <a:rPr lang="en-US" altLang="ja-JP" sz="1100"/>
            <a:t>9</a:t>
          </a:r>
          <a:r>
            <a:rPr lang="ja-JP" altLang="en-US" sz="1100"/>
            <a:t>月</a:t>
          </a:r>
          <a:endParaRPr lang="en-US" altLang="ja-JP" sz="1100"/>
        </a:p>
      </cdr:txBody>
    </cdr:sp>
  </cdr:relSizeAnchor>
  <cdr:relSizeAnchor xmlns:cdr="http://schemas.openxmlformats.org/drawingml/2006/chartDrawing">
    <cdr:from>
      <cdr:x>0.57507</cdr:x>
      <cdr:y>0.21255</cdr:y>
    </cdr:from>
    <cdr:to>
      <cdr:x>0.85288</cdr:x>
      <cdr:y>0.29981</cdr:y>
    </cdr:to>
    <cdr:cxnSp macro="">
      <cdr:nvCxnSpPr>
        <cdr:cNvPr id="6" name="直線矢印コネクタ 5"/>
        <cdr:cNvCxnSpPr/>
      </cdr:nvCxnSpPr>
      <cdr:spPr>
        <a:xfrm xmlns:a="http://schemas.openxmlformats.org/drawingml/2006/main">
          <a:off x="3312441" y="835173"/>
          <a:ext cx="1600200" cy="3429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0.26253</cdr:x>
      <cdr:y>0.38708</cdr:y>
    </cdr:from>
    <cdr:to>
      <cdr:x>0.78342</cdr:x>
      <cdr:y>0.64887</cdr:y>
    </cdr:to>
    <cdr:cxnSp macro="">
      <cdr:nvCxnSpPr>
        <cdr:cNvPr id="8" name="直線矢印コネクタ 7"/>
        <cdr:cNvCxnSpPr/>
      </cdr:nvCxnSpPr>
      <cdr:spPr>
        <a:xfrm xmlns:a="http://schemas.openxmlformats.org/drawingml/2006/main" flipH="1">
          <a:off x="1512218" y="1520973"/>
          <a:ext cx="3000373" cy="10287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0.15836</cdr:x>
      <cdr:y>0.64887</cdr:y>
    </cdr:from>
    <cdr:to>
      <cdr:x>0.33199</cdr:x>
      <cdr:y>0.76523</cdr:y>
    </cdr:to>
    <cdr:sp macro="" textlink="">
      <cdr:nvSpPr>
        <cdr:cNvPr id="13" name="テキスト 1"/>
        <cdr:cNvSpPr txBox="1"/>
      </cdr:nvSpPr>
      <cdr:spPr>
        <a:xfrm xmlns:a="http://schemas.openxmlformats.org/drawingml/2006/main">
          <a:off x="912141" y="2549673"/>
          <a:ext cx="1000125" cy="457200"/>
        </a:xfrm>
        <a:prstGeom xmlns:a="http://schemas.openxmlformats.org/drawingml/2006/main" prst="rect">
          <a:avLst/>
        </a:prstGeom>
      </cdr:spPr>
    </cdr:sp>
  </cdr:relSizeAnchor>
  <cdr:relSizeAnchor xmlns:cdr="http://schemas.openxmlformats.org/drawingml/2006/chartDrawing">
    <cdr:from>
      <cdr:x>0.0889</cdr:x>
      <cdr:y>0.67796</cdr:y>
    </cdr:from>
    <cdr:to>
      <cdr:x>0.26253</cdr:x>
      <cdr:y>0.79432</cdr:y>
    </cdr:to>
    <cdr:sp macro="" textlink="">
      <cdr:nvSpPr>
        <cdr:cNvPr id="14" name="テキスト 1"/>
        <cdr:cNvSpPr txBox="1"/>
      </cdr:nvSpPr>
      <cdr:spPr>
        <a:xfrm xmlns:a="http://schemas.openxmlformats.org/drawingml/2006/main">
          <a:off x="512091" y="2663973"/>
          <a:ext cx="1000125" cy="457200"/>
        </a:xfrm>
        <a:prstGeom xmlns:a="http://schemas.openxmlformats.org/drawingml/2006/main" prst="rect">
          <a:avLst/>
        </a:prstGeom>
      </cdr:spPr>
    </cdr:sp>
  </cdr:relSizeAnchor>
  <cdr:relSizeAnchor xmlns:cdr="http://schemas.openxmlformats.org/drawingml/2006/chartDrawing">
    <cdr:from>
      <cdr:x>0.10048</cdr:x>
      <cdr:y>0.73614</cdr:y>
    </cdr:from>
    <cdr:to>
      <cdr:x>0.27411</cdr:x>
      <cdr:y>0.85249</cdr:y>
    </cdr:to>
    <cdr:sp macro="" textlink="">
      <cdr:nvSpPr>
        <cdr:cNvPr id="15" name="テキスト 1"/>
        <cdr:cNvSpPr txBox="1"/>
      </cdr:nvSpPr>
      <cdr:spPr>
        <a:xfrm xmlns:a="http://schemas.openxmlformats.org/drawingml/2006/main">
          <a:off x="578766" y="2892573"/>
          <a:ext cx="1000125" cy="4572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altLang="ja-JP"/>
            <a:t>2012</a:t>
          </a:r>
          <a:r>
            <a:rPr lang="ja-JP" altLang="en-US"/>
            <a:t>年</a:t>
          </a:r>
          <a:r>
            <a:rPr lang="en-US" altLang="ja-JP"/>
            <a:t>9</a:t>
          </a:r>
          <a:r>
            <a:rPr lang="ja-JP" altLang="en-US"/>
            <a:t>月</a:t>
          </a:r>
          <a:endParaRPr lang="en-US" altLang="ja-JP"/>
        </a:p>
        <a:p xmlns:a="http://schemas.openxmlformats.org/drawingml/2006/main">
          <a:endParaRPr lang="ja-JP" altLang="en-US"/>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0.08907</cdr:y>
    </cdr:from>
    <cdr:to>
      <cdr:x>0.13201</cdr:x>
      <cdr:y>0.15307</cdr:y>
    </cdr:to>
    <cdr:sp macro="" textlink="">
      <cdr:nvSpPr>
        <cdr:cNvPr id="2" name="テキスト 1"/>
        <cdr:cNvSpPr txBox="1"/>
      </cdr:nvSpPr>
      <cdr:spPr>
        <a:xfrm xmlns:a="http://schemas.openxmlformats.org/drawingml/2006/main">
          <a:off x="-843280" y="318135"/>
          <a:ext cx="8001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単位：億円</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0.07977</cdr:y>
    </cdr:from>
    <cdr:to>
      <cdr:x>0.127</cdr:x>
      <cdr:y>0.23375</cdr:y>
    </cdr:to>
    <cdr:sp macro="" textlink="">
      <cdr:nvSpPr>
        <cdr:cNvPr id="2" name="テキスト 1"/>
        <cdr:cNvSpPr txBox="1"/>
      </cdr:nvSpPr>
      <cdr:spPr>
        <a:xfrm xmlns:a="http://schemas.openxmlformats.org/drawingml/2006/main">
          <a:off x="-853440" y="236855"/>
          <a:ext cx="6858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単位：件</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東京大学公共政策大学院</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27FDD4-9C4B-2C40-A54D-73EDC147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19</Pages>
  <Words>2267</Words>
  <Characters>12925</Characters>
  <Application>Microsoft Macintosh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消費者金融市場の余剰分析</vt:lpstr>
    </vt:vector>
  </TitlesOfParts>
  <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消費者金融市場の余剰分析</dc:title>
  <dc:creator>大口 正隆</dc:creator>
  <cp:lastModifiedBy>大口 正隆</cp:lastModifiedBy>
  <cp:revision>20</cp:revision>
  <cp:lastPrinted>2013-02-25T20:04:00Z</cp:lastPrinted>
  <dcterms:created xsi:type="dcterms:W3CDTF">2013-02-22T13:05:00Z</dcterms:created>
  <dcterms:modified xsi:type="dcterms:W3CDTF">2013-02-27T14:42:00Z</dcterms:modified>
</cp:coreProperties>
</file>