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250D" w14:textId="77777777" w:rsidR="00B45E1D" w:rsidRDefault="00B45E1D" w:rsidP="00FB43A7">
      <w:pPr>
        <w:jc w:val="center"/>
        <w:rPr>
          <w:sz w:val="24"/>
          <w:szCs w:val="40"/>
        </w:rPr>
      </w:pPr>
    </w:p>
    <w:p w14:paraId="28833326" w14:textId="77777777" w:rsidR="00B45E1D" w:rsidRDefault="00B45E1D" w:rsidP="00FB43A7">
      <w:pPr>
        <w:jc w:val="center"/>
        <w:rPr>
          <w:sz w:val="24"/>
          <w:szCs w:val="40"/>
        </w:rPr>
      </w:pPr>
    </w:p>
    <w:p w14:paraId="4C4E00F6" w14:textId="77777777" w:rsidR="00B45E1D" w:rsidRDefault="00B45E1D" w:rsidP="00FB43A7">
      <w:pPr>
        <w:jc w:val="center"/>
        <w:rPr>
          <w:sz w:val="24"/>
          <w:szCs w:val="40"/>
        </w:rPr>
      </w:pPr>
    </w:p>
    <w:p w14:paraId="6787B422" w14:textId="77777777" w:rsidR="00B45E1D" w:rsidRDefault="00B45E1D" w:rsidP="00FB43A7">
      <w:pPr>
        <w:jc w:val="center"/>
        <w:rPr>
          <w:sz w:val="24"/>
          <w:szCs w:val="40"/>
        </w:rPr>
      </w:pPr>
    </w:p>
    <w:p w14:paraId="5C16633A" w14:textId="77777777" w:rsidR="00B45E1D" w:rsidRDefault="00B45E1D" w:rsidP="00FB43A7">
      <w:pPr>
        <w:jc w:val="center"/>
        <w:rPr>
          <w:sz w:val="24"/>
          <w:szCs w:val="40"/>
        </w:rPr>
      </w:pPr>
    </w:p>
    <w:p w14:paraId="61E990F8" w14:textId="77777777" w:rsidR="00FB43A7" w:rsidRPr="00B45E1D" w:rsidRDefault="003B5CE7" w:rsidP="00FB43A7">
      <w:pPr>
        <w:jc w:val="center"/>
        <w:rPr>
          <w:sz w:val="32"/>
          <w:szCs w:val="40"/>
        </w:rPr>
      </w:pPr>
      <w:r>
        <w:rPr>
          <w:rFonts w:hint="eastAsia"/>
          <w:sz w:val="32"/>
          <w:szCs w:val="40"/>
        </w:rPr>
        <w:t>平成</w:t>
      </w:r>
      <w:r>
        <w:rPr>
          <w:rFonts w:hint="eastAsia"/>
          <w:sz w:val="32"/>
          <w:szCs w:val="40"/>
        </w:rPr>
        <w:t>26</w:t>
      </w:r>
      <w:r w:rsidR="00FB43A7" w:rsidRPr="00B45E1D">
        <w:rPr>
          <w:rFonts w:hint="eastAsia"/>
          <w:sz w:val="32"/>
          <w:szCs w:val="40"/>
        </w:rPr>
        <w:t>年度夏学期　事例研究（ミクロ経済政策）</w:t>
      </w:r>
    </w:p>
    <w:p w14:paraId="586B5F52" w14:textId="77777777" w:rsidR="00FB43A7" w:rsidRPr="00B45E1D" w:rsidRDefault="00FB43A7" w:rsidP="00FB43A7">
      <w:pPr>
        <w:jc w:val="center"/>
        <w:rPr>
          <w:sz w:val="32"/>
          <w:szCs w:val="40"/>
        </w:rPr>
      </w:pPr>
      <w:r w:rsidRPr="00B45E1D">
        <w:rPr>
          <w:rFonts w:hint="eastAsia"/>
          <w:sz w:val="32"/>
          <w:szCs w:val="40"/>
        </w:rPr>
        <w:t>期末レポート</w:t>
      </w:r>
    </w:p>
    <w:p w14:paraId="2A34B5D7" w14:textId="77777777" w:rsidR="00FB43A7" w:rsidRPr="00B45E1D" w:rsidRDefault="00FB43A7" w:rsidP="00FB43A7">
      <w:pPr>
        <w:spacing w:line="480" w:lineRule="auto"/>
        <w:jc w:val="center"/>
        <w:rPr>
          <w:sz w:val="32"/>
          <w:szCs w:val="40"/>
        </w:rPr>
      </w:pPr>
      <w:r w:rsidRPr="00B45E1D">
        <w:rPr>
          <w:rFonts w:hint="eastAsia"/>
          <w:sz w:val="40"/>
          <w:szCs w:val="32"/>
        </w:rPr>
        <w:t>「ガス事業民営化の効果」</w:t>
      </w:r>
    </w:p>
    <w:p w14:paraId="4330C5E8" w14:textId="77777777" w:rsidR="00FB43A7" w:rsidRPr="00B45E1D" w:rsidRDefault="00FB43A7" w:rsidP="00FB43A7">
      <w:pPr>
        <w:jc w:val="center"/>
        <w:rPr>
          <w:sz w:val="32"/>
          <w:szCs w:val="32"/>
        </w:rPr>
      </w:pPr>
    </w:p>
    <w:p w14:paraId="41253617" w14:textId="77777777" w:rsidR="00FB43A7" w:rsidRPr="00B45E1D" w:rsidRDefault="00FB43A7" w:rsidP="00FB43A7">
      <w:pPr>
        <w:jc w:val="center"/>
        <w:rPr>
          <w:sz w:val="28"/>
          <w:szCs w:val="32"/>
        </w:rPr>
      </w:pPr>
      <w:r w:rsidRPr="00B45E1D">
        <w:rPr>
          <w:rFonts w:hint="eastAsia"/>
          <w:sz w:val="28"/>
          <w:szCs w:val="32"/>
        </w:rPr>
        <w:t>東京大学公共政策大学院</w:t>
      </w:r>
    </w:p>
    <w:p w14:paraId="4B98DDE8" w14:textId="77777777" w:rsidR="00FB43A7" w:rsidRPr="00B45E1D" w:rsidRDefault="00FB43A7" w:rsidP="00FB43A7">
      <w:pPr>
        <w:jc w:val="center"/>
        <w:rPr>
          <w:sz w:val="28"/>
          <w:szCs w:val="32"/>
        </w:rPr>
      </w:pPr>
      <w:r w:rsidRPr="00B45E1D">
        <w:rPr>
          <w:rFonts w:hint="eastAsia"/>
          <w:sz w:val="28"/>
          <w:szCs w:val="32"/>
        </w:rPr>
        <w:t>経済政策コース</w:t>
      </w:r>
    </w:p>
    <w:p w14:paraId="4285E70C" w14:textId="77777777" w:rsidR="00FB43A7" w:rsidRPr="00B45E1D" w:rsidRDefault="00FB43A7" w:rsidP="00FB43A7">
      <w:pPr>
        <w:jc w:val="center"/>
        <w:rPr>
          <w:sz w:val="28"/>
          <w:szCs w:val="32"/>
        </w:rPr>
      </w:pPr>
      <w:r w:rsidRPr="00B45E1D">
        <w:rPr>
          <w:rFonts w:hint="eastAsia"/>
          <w:sz w:val="28"/>
          <w:szCs w:val="32"/>
        </w:rPr>
        <w:t>假屋</w:t>
      </w:r>
      <w:r w:rsidRPr="00B45E1D">
        <w:rPr>
          <w:rFonts w:hint="eastAsia"/>
          <w:sz w:val="28"/>
          <w:szCs w:val="32"/>
        </w:rPr>
        <w:t xml:space="preserve"> </w:t>
      </w:r>
      <w:r w:rsidRPr="00B45E1D">
        <w:rPr>
          <w:rFonts w:hint="eastAsia"/>
          <w:sz w:val="28"/>
          <w:szCs w:val="32"/>
        </w:rPr>
        <w:t>譲、小森</w:t>
      </w:r>
      <w:r w:rsidRPr="00B45E1D">
        <w:rPr>
          <w:sz w:val="28"/>
          <w:szCs w:val="32"/>
        </w:rPr>
        <w:t xml:space="preserve"> </w:t>
      </w:r>
      <w:r w:rsidRPr="00B45E1D">
        <w:rPr>
          <w:rFonts w:hint="eastAsia"/>
          <w:sz w:val="28"/>
          <w:szCs w:val="32"/>
        </w:rPr>
        <w:t>栞、見田</w:t>
      </w:r>
      <w:r w:rsidRPr="00B45E1D">
        <w:rPr>
          <w:rFonts w:hint="eastAsia"/>
          <w:sz w:val="28"/>
          <w:szCs w:val="32"/>
        </w:rPr>
        <w:t xml:space="preserve"> </w:t>
      </w:r>
      <w:r w:rsidRPr="00B45E1D">
        <w:rPr>
          <w:rFonts w:hint="eastAsia"/>
          <w:sz w:val="28"/>
          <w:szCs w:val="32"/>
        </w:rPr>
        <w:t>真木子、吉元</w:t>
      </w:r>
      <w:r w:rsidR="00B45E1D">
        <w:rPr>
          <w:rFonts w:hint="eastAsia"/>
          <w:sz w:val="28"/>
          <w:szCs w:val="32"/>
        </w:rPr>
        <w:t xml:space="preserve"> </w:t>
      </w:r>
      <w:r w:rsidR="00B45E1D">
        <w:rPr>
          <w:rFonts w:hint="eastAsia"/>
          <w:sz w:val="28"/>
          <w:szCs w:val="32"/>
        </w:rPr>
        <w:t>康真</w:t>
      </w:r>
    </w:p>
    <w:p w14:paraId="25FD8211" w14:textId="77777777" w:rsidR="00F07C00" w:rsidRDefault="00F07C00"/>
    <w:p w14:paraId="09737D54" w14:textId="77777777" w:rsidR="00F07C00" w:rsidRDefault="00F07C00">
      <w:r>
        <w:br w:type="page"/>
      </w:r>
    </w:p>
    <w:p w14:paraId="2E9BA701" w14:textId="77777777" w:rsidR="00F07C00" w:rsidRPr="00753B98" w:rsidRDefault="00F07C00">
      <w:pPr>
        <w:rPr>
          <w:sz w:val="24"/>
        </w:rPr>
      </w:pPr>
      <w:r w:rsidRPr="00753B98">
        <w:rPr>
          <w:sz w:val="24"/>
        </w:rPr>
        <w:lastRenderedPageBreak/>
        <w:t>Executive</w:t>
      </w:r>
      <w:r w:rsidRPr="00753B98">
        <w:rPr>
          <w:rFonts w:hint="eastAsia"/>
          <w:sz w:val="24"/>
        </w:rPr>
        <w:t xml:space="preserve"> Summary</w:t>
      </w:r>
    </w:p>
    <w:p w14:paraId="2462A0A4" w14:textId="77777777" w:rsidR="00520103" w:rsidRDefault="006042AF" w:rsidP="006B2CBB">
      <w:r>
        <w:rPr>
          <w:rFonts w:hint="eastAsia"/>
        </w:rPr>
        <w:t xml:space="preserve">　</w:t>
      </w:r>
    </w:p>
    <w:p w14:paraId="76B96DCB" w14:textId="72FD9243" w:rsidR="006B2CBB" w:rsidRDefault="00A17BD6" w:rsidP="00520103">
      <w:pPr>
        <w:ind w:firstLineChars="100" w:firstLine="210"/>
      </w:pPr>
      <w:r>
        <w:rPr>
          <w:rFonts w:hint="eastAsia"/>
        </w:rPr>
        <w:t>現在、公営事業規制が課されている多くの公営事業の分野で</w:t>
      </w:r>
      <w:r w:rsidR="00F565F0">
        <w:rPr>
          <w:rFonts w:hint="eastAsia"/>
        </w:rPr>
        <w:t>、</w:t>
      </w:r>
      <w:r>
        <w:rPr>
          <w:rFonts w:hint="eastAsia"/>
        </w:rPr>
        <w:t>民営化が進んでいる。</w:t>
      </w:r>
      <w:r w:rsidR="00935610">
        <w:rPr>
          <w:rFonts w:hint="eastAsia"/>
        </w:rPr>
        <w:t>以前、</w:t>
      </w:r>
      <w:r>
        <w:rPr>
          <w:rFonts w:hint="eastAsia"/>
        </w:rPr>
        <w:t>ガス事業</w:t>
      </w:r>
      <w:r w:rsidR="00935610">
        <w:rPr>
          <w:rFonts w:hint="eastAsia"/>
        </w:rPr>
        <w:t>は公営企業が主であったが、高カロリー化に伴う設備投資の増加などを理由とする赤字経営の懸念から、民営化が徐々に進行した。また</w:t>
      </w:r>
      <w:r w:rsidR="001A7C21">
        <w:rPr>
          <w:rFonts w:hint="eastAsia"/>
        </w:rPr>
        <w:t>将来的に</w:t>
      </w:r>
      <w:r w:rsidR="00935610">
        <w:rPr>
          <w:rFonts w:hint="eastAsia"/>
        </w:rPr>
        <w:t>、</w:t>
      </w:r>
      <w:r w:rsidR="001A7C21">
        <w:rPr>
          <w:rFonts w:hint="eastAsia"/>
        </w:rPr>
        <w:t>小口需要の自由化が予定される中で、今後ますます</w:t>
      </w:r>
      <w:r w:rsidR="00935610">
        <w:rPr>
          <w:rFonts w:hint="eastAsia"/>
        </w:rPr>
        <w:t>市場競争が進み、</w:t>
      </w:r>
      <w:r w:rsidR="001A7C21">
        <w:rPr>
          <w:rFonts w:hint="eastAsia"/>
        </w:rPr>
        <w:t>民営ガス事業者が増えると思われる。</w:t>
      </w:r>
    </w:p>
    <w:p w14:paraId="42B60A1E" w14:textId="77777777" w:rsidR="00520103" w:rsidRDefault="006B2CBB" w:rsidP="00520103">
      <w:pPr>
        <w:ind w:firstLineChars="100" w:firstLine="210"/>
      </w:pPr>
      <w:r>
        <w:rPr>
          <w:rFonts w:hint="eastAsia"/>
        </w:rPr>
        <w:t>そこで</w:t>
      </w:r>
      <w:r w:rsidR="006042AF">
        <w:rPr>
          <w:rFonts w:hint="eastAsia"/>
        </w:rPr>
        <w:t>本レポートではガス事業の民営化が与える効果を</w:t>
      </w:r>
      <w:r w:rsidR="00E01D99">
        <w:rPr>
          <w:rFonts w:hint="eastAsia"/>
        </w:rPr>
        <w:t>定量的に把握するため</w:t>
      </w:r>
      <w:r w:rsidR="00A17BD6">
        <w:rPr>
          <w:rFonts w:hint="eastAsia"/>
        </w:rPr>
        <w:t>、資源エネルギー庁『ガス事業年報』のデータを用い</w:t>
      </w:r>
      <w:r w:rsidR="00E01D99">
        <w:rPr>
          <w:rFonts w:hint="eastAsia"/>
        </w:rPr>
        <w:t>て</w:t>
      </w:r>
      <w:r w:rsidR="00A17BD6">
        <w:rPr>
          <w:rFonts w:hint="eastAsia"/>
        </w:rPr>
        <w:t>分析した。分析にあたっては、民営化したガス事業者群と公営のガス事業者群の</w:t>
      </w:r>
      <w:r w:rsidR="00A17BD6">
        <w:rPr>
          <w:rFonts w:hint="eastAsia"/>
        </w:rPr>
        <w:t>2</w:t>
      </w:r>
      <w:r w:rsidR="00A17BD6">
        <w:rPr>
          <w:rFonts w:hint="eastAsia"/>
        </w:rPr>
        <w:t>グループ</w:t>
      </w:r>
      <w:r w:rsidR="004B7EFE">
        <w:rPr>
          <w:rFonts w:hint="eastAsia"/>
        </w:rPr>
        <w:t>間で、民営化前後での単位当たり営業費用や経常利益の変化を観察し、民営化による事業効率化の効果を測った</w:t>
      </w:r>
      <w:r w:rsidR="00A17BD6">
        <w:rPr>
          <w:rFonts w:hint="eastAsia"/>
        </w:rPr>
        <w:t>。まず予察では平成</w:t>
      </w:r>
      <w:r w:rsidR="00A17BD6">
        <w:rPr>
          <w:rFonts w:hint="eastAsia"/>
        </w:rPr>
        <w:t>11</w:t>
      </w:r>
      <w:r w:rsidR="00A17BD6">
        <w:rPr>
          <w:rFonts w:hint="eastAsia"/>
        </w:rPr>
        <w:t>年度と平成</w:t>
      </w:r>
      <w:r w:rsidR="00A17BD6">
        <w:rPr>
          <w:rFonts w:hint="eastAsia"/>
        </w:rPr>
        <w:t>24</w:t>
      </w:r>
      <w:r w:rsidR="00A17BD6">
        <w:rPr>
          <w:rFonts w:hint="eastAsia"/>
        </w:rPr>
        <w:t>年度の営業費用と経常利益の変化を図示した。</w:t>
      </w:r>
      <w:r w:rsidR="00520103">
        <w:rPr>
          <w:rFonts w:hint="eastAsia"/>
        </w:rPr>
        <w:t>その結果、</w:t>
      </w:r>
      <w:r w:rsidR="001D7CE6">
        <w:rPr>
          <w:rFonts w:hint="eastAsia"/>
        </w:rPr>
        <w:t>民営化は単位あたり費用の低減には寄与するものの、経常利益の向上には貢献しない可能性が示唆された</w:t>
      </w:r>
      <w:r w:rsidR="00F535DA">
        <w:rPr>
          <w:rFonts w:hint="eastAsia"/>
        </w:rPr>
        <w:t>。</w:t>
      </w:r>
      <w:r w:rsidR="001D7CE6">
        <w:rPr>
          <w:rFonts w:hint="eastAsia"/>
        </w:rPr>
        <w:t>この仮説を確かめるため、</w:t>
      </w:r>
      <w:r w:rsidR="00F535DA">
        <w:rPr>
          <w:rFonts w:hint="eastAsia"/>
        </w:rPr>
        <w:t>続いて</w:t>
      </w:r>
      <w:r w:rsidR="004B7EFE">
        <w:rPr>
          <w:rFonts w:hint="eastAsia"/>
        </w:rPr>
        <w:t>Difference in difference</w:t>
      </w:r>
      <w:r w:rsidR="001D7CE6">
        <w:rPr>
          <w:rFonts w:hint="eastAsia"/>
        </w:rPr>
        <w:t>の手法を用いて</w:t>
      </w:r>
      <w:r w:rsidR="004B7EFE">
        <w:rPr>
          <w:rFonts w:hint="eastAsia"/>
        </w:rPr>
        <w:t>民営化ダ</w:t>
      </w:r>
      <w:r w:rsidR="001D7CE6">
        <w:rPr>
          <w:rFonts w:hint="eastAsia"/>
        </w:rPr>
        <w:t>ミーが費用と利益に与える影響の分析を試みた。しかし分析結果は仮説と異なり、費用</w:t>
      </w:r>
      <w:r w:rsidR="004B7EFE">
        <w:rPr>
          <w:rFonts w:hint="eastAsia"/>
        </w:rPr>
        <w:t>も利益も民営化ダミーは有意でなく、民営化は事業効率化に</w:t>
      </w:r>
      <w:r w:rsidR="00B40C9B">
        <w:rPr>
          <w:rFonts w:hint="eastAsia"/>
        </w:rPr>
        <w:t>直接的には</w:t>
      </w:r>
      <w:r w:rsidR="00F535DA">
        <w:rPr>
          <w:rFonts w:hint="eastAsia"/>
        </w:rPr>
        <w:t>影響を与えないこと</w:t>
      </w:r>
      <w:r w:rsidR="00B40C9B">
        <w:rPr>
          <w:rFonts w:hint="eastAsia"/>
        </w:rPr>
        <w:t>が分かった</w:t>
      </w:r>
      <w:r w:rsidR="004B7EFE">
        <w:rPr>
          <w:rFonts w:hint="eastAsia"/>
        </w:rPr>
        <w:t>。</w:t>
      </w:r>
    </w:p>
    <w:p w14:paraId="5CAF0706" w14:textId="103966E6" w:rsidR="005918AB" w:rsidRDefault="005918AB" w:rsidP="005918AB">
      <w:pPr>
        <w:ind w:firstLineChars="100" w:firstLine="210"/>
      </w:pPr>
      <w:r>
        <w:rPr>
          <w:rFonts w:hint="eastAsia"/>
        </w:rPr>
        <w:t>よって、これらの結果より</w:t>
      </w:r>
      <w:r w:rsidR="0062585D" w:rsidRPr="0062585D">
        <w:rPr>
          <w:rFonts w:hint="eastAsia"/>
        </w:rPr>
        <w:t>直接的には経営効率化に有意な影響を与えない</w:t>
      </w:r>
      <w:r w:rsidR="00F565F0">
        <w:rPr>
          <w:rFonts w:hint="eastAsia"/>
        </w:rPr>
        <w:t>ことが明らかになった。このことから民営化のみではガス事業の経営効率化を達成出来ず、ガス事業の成功要因には民営化以外の要因が必要と考えられる</w:t>
      </w:r>
      <w:r>
        <w:rPr>
          <w:rFonts w:hint="eastAsia"/>
        </w:rPr>
        <w:t>。ゆえに今後は、</w:t>
      </w:r>
      <w:r w:rsidR="00B40C9B">
        <w:rPr>
          <w:rFonts w:hint="eastAsia"/>
        </w:rPr>
        <w:t>大口需要者へのガス販売量など</w:t>
      </w:r>
      <w:r>
        <w:rPr>
          <w:rFonts w:hint="eastAsia"/>
        </w:rPr>
        <w:t>に</w:t>
      </w:r>
      <w:r w:rsidR="00B40C9B">
        <w:rPr>
          <w:rFonts w:hint="eastAsia"/>
        </w:rPr>
        <w:t>も</w:t>
      </w:r>
      <w:r>
        <w:rPr>
          <w:rFonts w:hint="eastAsia"/>
        </w:rPr>
        <w:t>着</w:t>
      </w:r>
      <w:r w:rsidR="00F565F0">
        <w:rPr>
          <w:rFonts w:hint="eastAsia"/>
        </w:rPr>
        <w:t>目し、民営化以外のどんな</w:t>
      </w:r>
      <w:r>
        <w:rPr>
          <w:rFonts w:hint="eastAsia"/>
        </w:rPr>
        <w:t>企業行動が経営効率化に資するのか、明らかにしたい。</w:t>
      </w:r>
    </w:p>
    <w:p w14:paraId="41AD611F" w14:textId="77777777" w:rsidR="00F07C00" w:rsidRDefault="00F07C00">
      <w:r>
        <w:br w:type="page"/>
      </w:r>
    </w:p>
    <w:p w14:paraId="3373CA57" w14:textId="77777777" w:rsidR="0027088D" w:rsidRPr="00962B05" w:rsidRDefault="0027088D">
      <w:pPr>
        <w:rPr>
          <w:sz w:val="24"/>
        </w:rPr>
      </w:pPr>
      <w:r w:rsidRPr="0027088D">
        <w:rPr>
          <w:rFonts w:hint="eastAsia"/>
          <w:sz w:val="24"/>
        </w:rPr>
        <w:lastRenderedPageBreak/>
        <w:t xml:space="preserve">1. </w:t>
      </w:r>
      <w:r w:rsidR="00BA0AD4" w:rsidRPr="0027088D">
        <w:rPr>
          <w:rFonts w:hint="eastAsia"/>
          <w:sz w:val="24"/>
        </w:rPr>
        <w:t>ガス事業の現状</w:t>
      </w:r>
      <w:r w:rsidRPr="0027088D">
        <w:rPr>
          <w:rFonts w:hint="eastAsia"/>
          <w:sz w:val="24"/>
        </w:rPr>
        <w:t>と問題意識</w:t>
      </w:r>
    </w:p>
    <w:p w14:paraId="6E70659B" w14:textId="77777777" w:rsidR="00012D4F" w:rsidRDefault="00012D4F" w:rsidP="00012D4F">
      <w:pPr>
        <w:rPr>
          <w:rFonts w:hint="eastAsia"/>
        </w:rPr>
      </w:pPr>
      <w:r>
        <w:rPr>
          <w:rFonts w:hint="eastAsia"/>
        </w:rPr>
        <w:t xml:space="preserve">1-1. </w:t>
      </w:r>
      <w:r>
        <w:rPr>
          <w:rFonts w:hint="eastAsia"/>
        </w:rPr>
        <w:t>一般ガス事業における公共事業規制</w:t>
      </w:r>
    </w:p>
    <w:p w14:paraId="5252B4C6" w14:textId="37E7B8B5" w:rsidR="00012D4F" w:rsidRPr="00012D4F" w:rsidRDefault="00012D4F" w:rsidP="00012D4F">
      <w:pPr>
        <w:ind w:firstLineChars="100" w:firstLine="210"/>
        <w:rPr>
          <w:rFonts w:hint="eastAsia"/>
        </w:rPr>
      </w:pPr>
      <w:r>
        <w:rPr>
          <w:rFonts w:hint="eastAsia"/>
        </w:rPr>
        <w:t>一般ガス事業には様々な公共事業規制が課されている。まず供給区域等に関しては、「供給区域」が設定</w:t>
      </w:r>
      <w:r w:rsidRPr="005B06E1">
        <w:rPr>
          <w:rStyle w:val="aa"/>
        </w:rPr>
        <w:footnoteReference w:id="1"/>
      </w:r>
      <w:r>
        <w:rPr>
          <w:rFonts w:hint="eastAsia"/>
        </w:rPr>
        <w:t>されており、「供給区域」内において独占供給とされている。また潜在需要を含んだ供給区域</w:t>
      </w:r>
      <w:r w:rsidR="0039343D">
        <w:rPr>
          <w:rFonts w:hint="eastAsia"/>
        </w:rPr>
        <w:t>内の需要家に対して、供給義務が課せられている。料金においてはガス</w:t>
      </w:r>
      <w:r>
        <w:rPr>
          <w:rFonts w:hint="eastAsia"/>
        </w:rPr>
        <w:t>料金その他の供給条件</w:t>
      </w:r>
      <w:r>
        <w:t>(</w:t>
      </w:r>
      <w:r>
        <w:rPr>
          <w:rFonts w:hint="eastAsia"/>
        </w:rPr>
        <w:t>供給約款</w:t>
      </w:r>
      <w:r>
        <w:t>)</w:t>
      </w:r>
      <w:r>
        <w:rPr>
          <w:rFonts w:hint="eastAsia"/>
        </w:rPr>
        <w:t>の設定がされており、変更には認可が必要とされている。</w:t>
      </w:r>
    </w:p>
    <w:p w14:paraId="49EDED37" w14:textId="77777777" w:rsidR="00012D4F" w:rsidRDefault="00012D4F"/>
    <w:p w14:paraId="194AA415" w14:textId="06C42457" w:rsidR="00997971" w:rsidRDefault="008612EA" w:rsidP="001225E2">
      <w:r>
        <w:rPr>
          <w:rFonts w:hint="eastAsia"/>
        </w:rPr>
        <w:t>1-2</w:t>
      </w:r>
      <w:r w:rsidR="0027088D">
        <w:rPr>
          <w:rFonts w:hint="eastAsia"/>
        </w:rPr>
        <w:t xml:space="preserve">. </w:t>
      </w:r>
      <w:r w:rsidR="00BA0AD4">
        <w:rPr>
          <w:rFonts w:hint="eastAsia"/>
        </w:rPr>
        <w:t>公営企業の民営化</w:t>
      </w:r>
    </w:p>
    <w:p w14:paraId="59948EB8" w14:textId="0A81240B" w:rsidR="008612EA" w:rsidRPr="008612EA" w:rsidRDefault="00FF3FE4" w:rsidP="00743ADB">
      <w:pPr>
        <w:ind w:firstLineChars="100" w:firstLine="210"/>
        <w:rPr>
          <w:rFonts w:hint="eastAsia"/>
        </w:rPr>
      </w:pPr>
      <w:r>
        <w:rPr>
          <w:rFonts w:hint="eastAsia"/>
        </w:rPr>
        <w:t>このよう</w:t>
      </w:r>
      <w:r w:rsidR="008F4F0A">
        <w:rPr>
          <w:rFonts w:hint="eastAsia"/>
        </w:rPr>
        <w:t>に、</w:t>
      </w:r>
      <w:r w:rsidR="00743ADB">
        <w:rPr>
          <w:rFonts w:hint="eastAsia"/>
        </w:rPr>
        <w:t>ガス事業を始めとする規制産業に対して</w:t>
      </w:r>
      <w:r w:rsidR="00663A11">
        <w:rPr>
          <w:rFonts w:hint="eastAsia"/>
        </w:rPr>
        <w:t>、</w:t>
      </w:r>
      <w:r w:rsidR="008612EA" w:rsidRPr="005B06E1">
        <w:rPr>
          <w:rFonts w:hint="eastAsia"/>
        </w:rPr>
        <w:t>公営企業の民営化の事例が増えている。「民間が出来ることは民間に」という精神の下、</w:t>
      </w:r>
      <w:r w:rsidR="00663A11">
        <w:rPr>
          <w:rFonts w:hint="eastAsia"/>
        </w:rPr>
        <w:t>例えば</w:t>
      </w:r>
      <w:r w:rsidR="008612EA" w:rsidRPr="005B06E1">
        <w:rPr>
          <w:rFonts w:hint="eastAsia"/>
        </w:rPr>
        <w:t>郵政民営化を代表とする民営化は、官僚主義の脱却と競争原理の導入によるサービスの向上や効率化が謳われている。こうした民営化</w:t>
      </w:r>
      <w:r w:rsidR="00743ADB">
        <w:rPr>
          <w:rFonts w:hint="eastAsia"/>
        </w:rPr>
        <w:t>の実践において社会的余剰の向上が最終目的とされる</w:t>
      </w:r>
      <w:r w:rsidR="008612EA" w:rsidRPr="005B06E1">
        <w:rPr>
          <w:rFonts w:hint="eastAsia"/>
        </w:rPr>
        <w:t>上で、</w:t>
      </w:r>
      <w:r w:rsidR="00743ADB">
        <w:rPr>
          <w:rFonts w:hint="eastAsia"/>
        </w:rPr>
        <w:t>実際にどの程度、民営化の</w:t>
      </w:r>
      <w:r w:rsidR="008612EA" w:rsidRPr="005B06E1">
        <w:rPr>
          <w:rFonts w:hint="eastAsia"/>
        </w:rPr>
        <w:t>効果が出ているのか</w:t>
      </w:r>
      <w:r w:rsidR="00743ADB">
        <w:rPr>
          <w:rFonts w:hint="eastAsia"/>
        </w:rPr>
        <w:t>定量的に把握することで、</w:t>
      </w:r>
      <w:r w:rsidR="008612EA" w:rsidRPr="005B06E1">
        <w:rPr>
          <w:rFonts w:hint="eastAsia"/>
        </w:rPr>
        <w:t>民営化の成功ケースと失敗ケースの違いは何か、</w:t>
      </w:r>
      <w:r w:rsidR="00663A11">
        <w:rPr>
          <w:rFonts w:hint="eastAsia"/>
        </w:rPr>
        <w:t>民営化を成功させるためにはどうしたらよいのか</w:t>
      </w:r>
      <w:r w:rsidR="00743ADB">
        <w:rPr>
          <w:rFonts w:hint="eastAsia"/>
        </w:rPr>
        <w:t>を本研究で解明したい</w:t>
      </w:r>
      <w:r w:rsidR="008612EA" w:rsidRPr="005B06E1">
        <w:rPr>
          <w:rFonts w:hint="eastAsia"/>
        </w:rPr>
        <w:t>。</w:t>
      </w:r>
      <w:r w:rsidR="00663A11">
        <w:rPr>
          <w:rFonts w:hint="eastAsia"/>
        </w:rPr>
        <w:t>また</w:t>
      </w:r>
      <w:r w:rsidR="008612EA" w:rsidRPr="005B06E1">
        <w:rPr>
          <w:rFonts w:hint="eastAsia"/>
        </w:rPr>
        <w:t>民営化の</w:t>
      </w:r>
      <w:r w:rsidR="00743ADB">
        <w:rPr>
          <w:rFonts w:hint="eastAsia"/>
        </w:rPr>
        <w:t>メリットとして、競争主義導入による経営効率化・サービス向上・</w:t>
      </w:r>
      <w:r w:rsidR="008612EA" w:rsidRPr="005B06E1">
        <w:rPr>
          <w:rFonts w:hint="eastAsia"/>
        </w:rPr>
        <w:t>価格低下などが挙げられるが、</w:t>
      </w:r>
      <w:r w:rsidR="00743ADB">
        <w:rPr>
          <w:rFonts w:hint="eastAsia"/>
        </w:rPr>
        <w:t>公的</w:t>
      </w:r>
      <w:r w:rsidR="008612EA" w:rsidRPr="005B06E1">
        <w:rPr>
          <w:rFonts w:hint="eastAsia"/>
        </w:rPr>
        <w:t>サービスの提供カット（過疎地域切り捨て等）</w:t>
      </w:r>
      <w:r w:rsidR="00244ED7">
        <w:rPr>
          <w:rFonts w:hint="eastAsia"/>
        </w:rPr>
        <w:t>といったデメリットにも注視しつつ分析を進めたい</w:t>
      </w:r>
      <w:r w:rsidR="008612EA" w:rsidRPr="005B06E1">
        <w:rPr>
          <w:rFonts w:hint="eastAsia"/>
        </w:rPr>
        <w:t>。</w:t>
      </w:r>
    </w:p>
    <w:p w14:paraId="4F7BC07E" w14:textId="77777777" w:rsidR="008612EA" w:rsidRDefault="008612EA" w:rsidP="00663A11"/>
    <w:p w14:paraId="0C106168" w14:textId="7BA3EBB1" w:rsidR="00A06BAA" w:rsidRDefault="008612EA" w:rsidP="001225E2">
      <w:pPr>
        <w:rPr>
          <w:rFonts w:hint="eastAsia"/>
        </w:rPr>
      </w:pPr>
      <w:r>
        <w:rPr>
          <w:rFonts w:hint="eastAsia"/>
        </w:rPr>
        <w:t>1-3</w:t>
      </w:r>
      <w:r w:rsidR="0027088D">
        <w:rPr>
          <w:rFonts w:hint="eastAsia"/>
        </w:rPr>
        <w:t xml:space="preserve">. </w:t>
      </w:r>
      <w:r w:rsidR="00CF3657" w:rsidRPr="00BA0AD4">
        <w:rPr>
          <w:rFonts w:hint="eastAsia"/>
        </w:rPr>
        <w:t>ガス事業の民営化</w:t>
      </w:r>
      <w:r w:rsidR="00CF3657" w:rsidRPr="00BA0AD4">
        <w:t xml:space="preserve"> </w:t>
      </w:r>
    </w:p>
    <w:p w14:paraId="185B9041" w14:textId="4EA67232" w:rsidR="00A06BAA" w:rsidRDefault="003A1F4B" w:rsidP="00010B40">
      <w:pPr>
        <w:ind w:firstLineChars="100" w:firstLine="210"/>
      </w:pPr>
      <w:r>
        <w:rPr>
          <w:rFonts w:hint="eastAsia"/>
        </w:rPr>
        <w:t>その中で</w:t>
      </w:r>
      <w:r w:rsidR="008612EA" w:rsidRPr="005B06E1">
        <w:rPr>
          <w:rFonts w:hint="eastAsia"/>
        </w:rPr>
        <w:t>今回取り上げるガス事業は、電力と比較した場合、改善の余地があると考えられる。具体的には、電力は全て民営であり地域独占のもと安定供給が行われている一方</w:t>
      </w:r>
      <w:r>
        <w:rPr>
          <w:rFonts w:hint="eastAsia"/>
        </w:rPr>
        <w:t>で</w:t>
      </w:r>
      <w:r w:rsidR="008612EA" w:rsidRPr="005B06E1">
        <w:rPr>
          <w:rFonts w:hint="eastAsia"/>
        </w:rPr>
        <w:t>、</w:t>
      </w:r>
      <w:r>
        <w:rPr>
          <w:rFonts w:hint="eastAsia"/>
        </w:rPr>
        <w:t>ガス</w:t>
      </w:r>
      <w:r w:rsidR="008612EA" w:rsidRPr="005B06E1">
        <w:rPr>
          <w:rFonts w:hint="eastAsia"/>
        </w:rPr>
        <w:t>は</w:t>
      </w:r>
      <w:r>
        <w:rPr>
          <w:rFonts w:hint="eastAsia"/>
        </w:rPr>
        <w:t>料金の</w:t>
      </w:r>
      <w:r w:rsidR="008612EA" w:rsidRPr="005B06E1">
        <w:rPr>
          <w:rFonts w:hint="eastAsia"/>
        </w:rPr>
        <w:t>硬直化やガス事業者数</w:t>
      </w:r>
      <w:r>
        <w:rPr>
          <w:rFonts w:hint="eastAsia"/>
        </w:rPr>
        <w:t>が多い</w:t>
      </w:r>
      <w:r w:rsidR="008612EA" w:rsidRPr="005B06E1">
        <w:rPr>
          <w:rFonts w:hint="eastAsia"/>
        </w:rPr>
        <w:t>ことが挙げられる。平成</w:t>
      </w:r>
      <w:r w:rsidR="008612EA" w:rsidRPr="005B06E1">
        <w:rPr>
          <w:rFonts w:hint="eastAsia"/>
        </w:rPr>
        <w:t>6</w:t>
      </w:r>
      <w:r w:rsidR="008612EA" w:rsidRPr="005B06E1">
        <w:rPr>
          <w:rFonts w:hint="eastAsia"/>
        </w:rPr>
        <w:t>年と平成</w:t>
      </w:r>
      <w:r w:rsidR="008612EA" w:rsidRPr="005B06E1">
        <w:rPr>
          <w:rFonts w:hint="eastAsia"/>
        </w:rPr>
        <w:t>23</w:t>
      </w:r>
      <w:r w:rsidR="008612EA" w:rsidRPr="005B06E1">
        <w:rPr>
          <w:rFonts w:hint="eastAsia"/>
        </w:rPr>
        <w:t>年の電気、ガス価格を比較すると、電気は</w:t>
      </w:r>
      <w:r w:rsidR="008612EA" w:rsidRPr="005B06E1">
        <w:rPr>
          <w:rFonts w:hint="eastAsia"/>
        </w:rPr>
        <w:t>19</w:t>
      </w:r>
      <w:r w:rsidR="008612EA" w:rsidRPr="005B06E1">
        <w:rPr>
          <w:rFonts w:hint="eastAsia"/>
        </w:rPr>
        <w:t>円／</w:t>
      </w:r>
      <w:r w:rsidR="008612EA" w:rsidRPr="005B06E1">
        <w:t>kWh</w:t>
      </w:r>
      <w:r w:rsidR="008612EA" w:rsidRPr="005B06E1">
        <w:rPr>
          <w:rFonts w:hint="eastAsia"/>
        </w:rPr>
        <w:t>が</w:t>
      </w:r>
      <w:r w:rsidR="008612EA" w:rsidRPr="005B06E1">
        <w:rPr>
          <w:rFonts w:hint="eastAsia"/>
        </w:rPr>
        <w:t>16</w:t>
      </w:r>
      <w:r w:rsidR="008612EA" w:rsidRPr="005B06E1">
        <w:rPr>
          <w:rFonts w:hint="eastAsia"/>
        </w:rPr>
        <w:t>円／</w:t>
      </w:r>
      <w:r w:rsidR="008612EA" w:rsidRPr="005B06E1">
        <w:t>kWh</w:t>
      </w:r>
      <w:r w:rsidR="008612EA" w:rsidRPr="005B06E1">
        <w:rPr>
          <w:rFonts w:hint="eastAsia"/>
        </w:rPr>
        <w:t>となり、約</w:t>
      </w:r>
      <w:r w:rsidR="008612EA" w:rsidRPr="005B06E1">
        <w:t>1.5</w:t>
      </w:r>
      <w:r w:rsidR="008612EA" w:rsidRPr="005B06E1">
        <w:rPr>
          <w:rFonts w:hint="eastAsia"/>
        </w:rPr>
        <w:t>割低下している。</w:t>
      </w:r>
      <w:r>
        <w:rPr>
          <w:rFonts w:hint="eastAsia"/>
        </w:rPr>
        <w:t>一方、ガス価格は</w:t>
      </w:r>
      <w:r w:rsidR="008612EA" w:rsidRPr="005B06E1">
        <w:rPr>
          <w:rFonts w:hint="eastAsia"/>
        </w:rPr>
        <w:t>8</w:t>
      </w:r>
      <w:r w:rsidR="008612EA" w:rsidRPr="005B06E1">
        <w:rPr>
          <w:rFonts w:hint="eastAsia"/>
        </w:rPr>
        <w:t>円／</w:t>
      </w:r>
      <w:r w:rsidR="008612EA" w:rsidRPr="005B06E1">
        <w:rPr>
          <w:rFonts w:hint="eastAsia"/>
        </w:rPr>
        <w:t>1000</w:t>
      </w:r>
      <w:r w:rsidR="008612EA" w:rsidRPr="005B06E1">
        <w:t>kcal</w:t>
      </w:r>
      <w:r w:rsidR="008612EA" w:rsidRPr="005B06E1">
        <w:rPr>
          <w:rFonts w:hint="eastAsia"/>
        </w:rPr>
        <w:t>のまま</w:t>
      </w:r>
      <w:r>
        <w:rPr>
          <w:rFonts w:hint="eastAsia"/>
        </w:rPr>
        <w:t>、</w:t>
      </w:r>
      <w:r w:rsidR="008612EA" w:rsidRPr="005B06E1">
        <w:rPr>
          <w:rFonts w:hint="eastAsia"/>
        </w:rPr>
        <w:t>ほぼ変化はない。事業者数は、</w:t>
      </w:r>
      <w:r w:rsidR="008612EA" w:rsidRPr="005B06E1">
        <w:t>電気事業</w:t>
      </w:r>
      <w:r w:rsidR="008612EA" w:rsidRPr="005B06E1">
        <w:rPr>
          <w:rFonts w:hint="eastAsia"/>
        </w:rPr>
        <w:t>が</w:t>
      </w:r>
      <w:r w:rsidR="008612EA" w:rsidRPr="005B06E1">
        <w:t>計</w:t>
      </w:r>
      <w:r w:rsidR="008612EA" w:rsidRPr="005B06E1">
        <w:rPr>
          <w:rFonts w:hint="eastAsia"/>
        </w:rPr>
        <w:t>10</w:t>
      </w:r>
      <w:r w:rsidR="008612EA" w:rsidRPr="005B06E1">
        <w:t>社</w:t>
      </w:r>
      <w:r w:rsidR="008612EA" w:rsidRPr="005B06E1">
        <w:rPr>
          <w:rFonts w:hint="eastAsia"/>
        </w:rPr>
        <w:t>であるのに対し、一般</w:t>
      </w:r>
      <w:r w:rsidR="008612EA" w:rsidRPr="005B06E1">
        <w:t>ガス事業</w:t>
      </w:r>
      <w:r w:rsidR="008612EA" w:rsidRPr="005B06E1">
        <w:rPr>
          <w:rFonts w:hint="eastAsia"/>
        </w:rPr>
        <w:t>は</w:t>
      </w:r>
      <w:r w:rsidR="008612EA" w:rsidRPr="005B06E1">
        <w:t>計</w:t>
      </w:r>
      <w:r w:rsidR="008612EA" w:rsidRPr="005B06E1">
        <w:rPr>
          <w:rFonts w:hint="eastAsia"/>
        </w:rPr>
        <w:t>209</w:t>
      </w:r>
      <w:r w:rsidR="008612EA" w:rsidRPr="005B06E1">
        <w:t>社（内公営事業</w:t>
      </w:r>
      <w:r w:rsidR="008612EA" w:rsidRPr="005B06E1">
        <w:rPr>
          <w:rFonts w:hint="eastAsia"/>
        </w:rPr>
        <w:t>29</w:t>
      </w:r>
      <w:r w:rsidR="008612EA" w:rsidRPr="005B06E1">
        <w:t>社）</w:t>
      </w:r>
      <w:r w:rsidR="008612EA" w:rsidRPr="005B06E1">
        <w:rPr>
          <w:rFonts w:hint="eastAsia"/>
        </w:rPr>
        <w:t>（平成</w:t>
      </w:r>
      <w:r w:rsidR="008612EA" w:rsidRPr="005B06E1">
        <w:rPr>
          <w:rFonts w:hint="eastAsia"/>
        </w:rPr>
        <w:t>24</w:t>
      </w:r>
      <w:r w:rsidR="008612EA" w:rsidRPr="005B06E1">
        <w:rPr>
          <w:rFonts w:hint="eastAsia"/>
        </w:rPr>
        <w:t>年調べ</w:t>
      </w:r>
      <w:r w:rsidR="008612EA" w:rsidRPr="005B06E1">
        <w:rPr>
          <w:rStyle w:val="aa"/>
        </w:rPr>
        <w:footnoteReference w:id="2"/>
      </w:r>
      <w:r w:rsidR="008612EA" w:rsidRPr="005B06E1">
        <w:rPr>
          <w:rFonts w:hint="eastAsia"/>
        </w:rPr>
        <w:t>）である。昭和</w:t>
      </w:r>
      <w:r w:rsidR="008612EA" w:rsidRPr="005B06E1">
        <w:rPr>
          <w:rFonts w:hint="eastAsia"/>
        </w:rPr>
        <w:t>30</w:t>
      </w:r>
      <w:r w:rsidR="008612EA" w:rsidRPr="005B06E1">
        <w:rPr>
          <w:rFonts w:hint="eastAsia"/>
        </w:rPr>
        <w:t>年代中頃から国産天然ガスの開発が進むにつれ、公営ガス事業数は急速に増加し、昭和</w:t>
      </w:r>
      <w:r w:rsidR="008612EA" w:rsidRPr="005B06E1">
        <w:rPr>
          <w:rFonts w:hint="eastAsia"/>
        </w:rPr>
        <w:t>50</w:t>
      </w:r>
      <w:r w:rsidR="008612EA" w:rsidRPr="005B06E1">
        <w:rPr>
          <w:rFonts w:hint="eastAsia"/>
        </w:rPr>
        <w:t>年から</w:t>
      </w:r>
      <w:r w:rsidR="008612EA" w:rsidRPr="005B06E1">
        <w:rPr>
          <w:rFonts w:hint="eastAsia"/>
        </w:rPr>
        <w:t>52</w:t>
      </w:r>
      <w:r w:rsidR="008612EA" w:rsidRPr="005B06E1">
        <w:rPr>
          <w:rFonts w:hint="eastAsia"/>
        </w:rPr>
        <w:t>年のピーク時には</w:t>
      </w:r>
      <w:r w:rsidR="008612EA" w:rsidRPr="005B06E1">
        <w:rPr>
          <w:rFonts w:hint="eastAsia"/>
        </w:rPr>
        <w:t>75</w:t>
      </w:r>
      <w:r w:rsidR="008612EA">
        <w:rPr>
          <w:rStyle w:val="aa"/>
        </w:rPr>
        <w:footnoteReference w:id="3"/>
      </w:r>
      <w:r w:rsidR="008612EA" w:rsidRPr="005B06E1">
        <w:rPr>
          <w:rFonts w:hint="eastAsia"/>
        </w:rPr>
        <w:t>事業となった。しかし、近年は、将来必要となる設備投資が多額であることなどを理由とする民間譲渡や、市町村合併に伴う公営ガス事業者の統合により、その数は減少してきている。現在、ガスの供給事業は主として民間事業者によって行われているが、公営ガス事業は、主に民間</w:t>
      </w:r>
      <w:r w:rsidR="008612EA">
        <w:rPr>
          <w:rFonts w:hint="eastAsia"/>
        </w:rPr>
        <w:t>事業者が進出していない地域やパイプラインの通過地域において、導管により地域住民にガスを供給している</w:t>
      </w:r>
      <w:r w:rsidR="008612EA" w:rsidRPr="005B06E1">
        <w:rPr>
          <w:rFonts w:hint="eastAsia"/>
        </w:rPr>
        <w:t>。</w:t>
      </w:r>
      <w:r w:rsidR="00010B40">
        <w:rPr>
          <w:rFonts w:hint="eastAsia"/>
        </w:rPr>
        <w:t>次</w:t>
      </w:r>
      <w:r w:rsidR="00037AC8">
        <w:rPr>
          <w:rFonts w:hint="eastAsia"/>
        </w:rPr>
        <w:t>節では、</w:t>
      </w:r>
      <w:r w:rsidR="00574EF3">
        <w:rPr>
          <w:rFonts w:hint="eastAsia"/>
        </w:rPr>
        <w:t>ガス事業民営化が費用や利益構造に与える</w:t>
      </w:r>
      <w:r w:rsidR="00010B40">
        <w:rPr>
          <w:rFonts w:hint="eastAsia"/>
        </w:rPr>
        <w:t>影響を分析する。</w:t>
      </w:r>
    </w:p>
    <w:p w14:paraId="0BB9BC4C" w14:textId="77777777" w:rsidR="00524294" w:rsidRDefault="00524294" w:rsidP="00524294">
      <w:pPr>
        <w:ind w:firstLineChars="100" w:firstLine="210"/>
        <w:rPr>
          <w:noProof/>
          <w:lang w:bidi="as-IN"/>
        </w:rPr>
      </w:pPr>
      <w:r w:rsidRPr="00524294">
        <w:rPr>
          <w:noProof/>
        </w:rPr>
        <w:lastRenderedPageBreak/>
        <w:drawing>
          <wp:inline distT="0" distB="0" distL="0" distR="0" wp14:anchorId="21388D6C" wp14:editId="11961D31">
            <wp:extent cx="2466975" cy="2085975"/>
            <wp:effectExtent l="19050" t="0" r="9525" b="0"/>
            <wp:docPr id="1" name="図 1"/>
            <wp:cNvGraphicFramePr/>
            <a:graphic xmlns:a="http://schemas.openxmlformats.org/drawingml/2006/main">
              <a:graphicData uri="http://schemas.openxmlformats.org/drawingml/2006/picture">
                <pic:pic xmlns:pic="http://schemas.openxmlformats.org/drawingml/2006/picture">
                  <pic:nvPicPr>
                    <pic:cNvPr id="14345" name="Picture 9"/>
                    <pic:cNvPicPr>
                      <a:picLocks noChangeAspect="1" noChangeArrowheads="1"/>
                    </pic:cNvPicPr>
                  </pic:nvPicPr>
                  <pic:blipFill>
                    <a:blip r:embed="rId9" cstate="print"/>
                    <a:srcRect/>
                    <a:stretch>
                      <a:fillRect/>
                    </a:stretch>
                  </pic:blipFill>
                  <pic:spPr bwMode="auto">
                    <a:xfrm>
                      <a:off x="0" y="0"/>
                      <a:ext cx="2468852" cy="2087562"/>
                    </a:xfrm>
                    <a:prstGeom prst="rect">
                      <a:avLst/>
                    </a:prstGeom>
                    <a:noFill/>
                    <a:ln w="12700" cap="flat">
                      <a:noFill/>
                      <a:miter lim="800000"/>
                      <a:headEnd/>
                      <a:tailEnd/>
                    </a:ln>
                  </pic:spPr>
                </pic:pic>
              </a:graphicData>
            </a:graphic>
          </wp:inline>
        </w:drawing>
      </w:r>
      <w:r w:rsidRPr="00524294">
        <w:rPr>
          <w:noProof/>
          <w:lang w:bidi="as-IN"/>
        </w:rPr>
        <w:t xml:space="preserve"> </w:t>
      </w:r>
      <w:r w:rsidRPr="00524294">
        <w:rPr>
          <w:noProof/>
        </w:rPr>
        <w:drawing>
          <wp:inline distT="0" distB="0" distL="0" distR="0" wp14:anchorId="46EAAC41" wp14:editId="33DF1015">
            <wp:extent cx="2571750" cy="1905000"/>
            <wp:effectExtent l="19050" t="0" r="0" b="0"/>
            <wp:docPr id="2" name="図 2"/>
            <wp:cNvGraphicFramePr/>
            <a:graphic xmlns:a="http://schemas.openxmlformats.org/drawingml/2006/main">
              <a:graphicData uri="http://schemas.openxmlformats.org/drawingml/2006/picture">
                <pic:pic xmlns:pic="http://schemas.openxmlformats.org/drawingml/2006/picture">
                  <pic:nvPicPr>
                    <pic:cNvPr id="14346" name="Picture 10"/>
                    <pic:cNvPicPr>
                      <a:picLocks noChangeAspect="1" noChangeArrowheads="1"/>
                    </pic:cNvPicPr>
                  </pic:nvPicPr>
                  <pic:blipFill>
                    <a:blip r:embed="rId10" cstate="print"/>
                    <a:srcRect/>
                    <a:stretch>
                      <a:fillRect/>
                    </a:stretch>
                  </pic:blipFill>
                  <pic:spPr bwMode="auto">
                    <a:xfrm>
                      <a:off x="0" y="0"/>
                      <a:ext cx="2571750" cy="1905000"/>
                    </a:xfrm>
                    <a:prstGeom prst="rect">
                      <a:avLst/>
                    </a:prstGeom>
                    <a:noFill/>
                    <a:ln w="12700" cap="flat">
                      <a:noFill/>
                      <a:miter lim="800000"/>
                      <a:headEnd/>
                      <a:tailEnd/>
                    </a:ln>
                  </pic:spPr>
                </pic:pic>
              </a:graphicData>
            </a:graphic>
          </wp:inline>
        </w:drawing>
      </w:r>
    </w:p>
    <w:p w14:paraId="6F79694D" w14:textId="77777777" w:rsidR="00887D37" w:rsidRDefault="004F034D" w:rsidP="00524294">
      <w:pPr>
        <w:ind w:firstLineChars="100" w:firstLine="210"/>
      </w:pPr>
      <w:r>
        <w:rPr>
          <w:rFonts w:hint="eastAsia"/>
        </w:rPr>
        <w:t xml:space="preserve">図１　</w:t>
      </w:r>
      <w:r w:rsidR="00474D8E">
        <w:rPr>
          <w:rFonts w:hint="eastAsia"/>
        </w:rPr>
        <w:t xml:space="preserve">電力価格の推移　　　　　　　</w:t>
      </w:r>
      <w:r>
        <w:rPr>
          <w:rFonts w:hint="eastAsia"/>
        </w:rPr>
        <w:t xml:space="preserve">　　　　図</w:t>
      </w:r>
      <w:r w:rsidR="00887D37" w:rsidRPr="00887D37">
        <w:rPr>
          <w:rFonts w:hint="eastAsia"/>
        </w:rPr>
        <w:t>2</w:t>
      </w:r>
      <w:r w:rsidR="00474D8E">
        <w:rPr>
          <w:rFonts w:hint="eastAsia"/>
        </w:rPr>
        <w:t xml:space="preserve">　ガス価格の推移</w:t>
      </w:r>
    </w:p>
    <w:p w14:paraId="1FC9A9EF" w14:textId="77777777" w:rsidR="008F6A1D" w:rsidRPr="007E476E" w:rsidRDefault="004F034D" w:rsidP="005B6A0F">
      <w:pPr>
        <w:rPr>
          <w:sz w:val="18"/>
          <w:szCs w:val="18"/>
        </w:rPr>
      </w:pPr>
      <w:r>
        <w:rPr>
          <w:rFonts w:hint="eastAsia"/>
          <w:sz w:val="18"/>
          <w:szCs w:val="18"/>
        </w:rPr>
        <w:t>図</w:t>
      </w:r>
      <w:r w:rsidR="00465619">
        <w:rPr>
          <w:rFonts w:hint="eastAsia"/>
          <w:sz w:val="18"/>
          <w:szCs w:val="18"/>
        </w:rPr>
        <w:t>１：（出典</w:t>
      </w:r>
      <w:r w:rsidR="00CF3657" w:rsidRPr="007E476E">
        <w:rPr>
          <w:rFonts w:hint="eastAsia"/>
          <w:sz w:val="18"/>
          <w:szCs w:val="18"/>
        </w:rPr>
        <w:t>）電力需要実績（確報）、各電力会社決算資料をもとに資源エネルギー庁作成</w:t>
      </w:r>
    </w:p>
    <w:p w14:paraId="1688EC26" w14:textId="77777777" w:rsidR="008F6A1D" w:rsidRPr="007E476E" w:rsidRDefault="004F034D" w:rsidP="005B6A0F">
      <w:pPr>
        <w:rPr>
          <w:sz w:val="18"/>
          <w:szCs w:val="18"/>
        </w:rPr>
      </w:pPr>
      <w:r>
        <w:rPr>
          <w:rFonts w:hint="eastAsia"/>
          <w:sz w:val="18"/>
          <w:szCs w:val="18"/>
        </w:rPr>
        <w:t>図</w:t>
      </w:r>
      <w:r w:rsidR="00CF3657" w:rsidRPr="007E476E">
        <w:rPr>
          <w:sz w:val="18"/>
          <w:szCs w:val="18"/>
        </w:rPr>
        <w:t>2</w:t>
      </w:r>
      <w:r w:rsidR="00465619">
        <w:rPr>
          <w:rFonts w:hint="eastAsia"/>
          <w:sz w:val="18"/>
          <w:szCs w:val="18"/>
        </w:rPr>
        <w:t>：（出典</w:t>
      </w:r>
      <w:r w:rsidR="00CF3657" w:rsidRPr="007E476E">
        <w:rPr>
          <w:rFonts w:hint="eastAsia"/>
          <w:sz w:val="18"/>
          <w:szCs w:val="18"/>
        </w:rPr>
        <w:t>）日本エネルギー経済研究所「エネルギー・経済統計要覧」をもとに資源エネルギー庁作成</w:t>
      </w:r>
    </w:p>
    <w:p w14:paraId="1DD83BBC" w14:textId="77777777" w:rsidR="004A31AA" w:rsidRDefault="004A31AA"/>
    <w:p w14:paraId="0B784B2E" w14:textId="77777777" w:rsidR="00906B65" w:rsidRPr="00906B65" w:rsidRDefault="00906B65" w:rsidP="00A60AB7">
      <w:pPr>
        <w:rPr>
          <w:sz w:val="24"/>
        </w:rPr>
      </w:pPr>
      <w:r w:rsidRPr="00906B65">
        <w:rPr>
          <w:rFonts w:hint="eastAsia"/>
          <w:sz w:val="24"/>
        </w:rPr>
        <w:t xml:space="preserve">2. </w:t>
      </w:r>
      <w:r w:rsidRPr="00906B65">
        <w:rPr>
          <w:rFonts w:hint="eastAsia"/>
          <w:sz w:val="24"/>
        </w:rPr>
        <w:t>分析と結果</w:t>
      </w:r>
    </w:p>
    <w:p w14:paraId="20E8D9D0" w14:textId="77777777" w:rsidR="00271FE9" w:rsidRDefault="00271FE9" w:rsidP="00A60AB7">
      <w:r>
        <w:rPr>
          <w:rFonts w:hint="eastAsia"/>
        </w:rPr>
        <w:t xml:space="preserve">2-1. </w:t>
      </w:r>
      <w:r>
        <w:rPr>
          <w:rFonts w:hint="eastAsia"/>
        </w:rPr>
        <w:t>分析方法について</w:t>
      </w:r>
    </w:p>
    <w:p w14:paraId="1FF8B996" w14:textId="77777777" w:rsidR="000E06E6" w:rsidRPr="000E06E6" w:rsidRDefault="000E06E6" w:rsidP="000E06E6">
      <w:pPr>
        <w:ind w:firstLineChars="100" w:firstLine="210"/>
      </w:pPr>
      <w:r>
        <w:rPr>
          <w:rFonts w:hint="eastAsia"/>
        </w:rPr>
        <w:t>今回の分析においては、「公営都市ガス事業者の民営化の効果」を測定するため、民営化を実施した公営都市ガス事業者群と民営化を実施していない公営ガス事業者群の経営状況を表すデータの平成</w:t>
      </w:r>
      <w:r>
        <w:rPr>
          <w:rFonts w:hint="eastAsia"/>
        </w:rPr>
        <w:t>11</w:t>
      </w:r>
      <w:r>
        <w:rPr>
          <w:rFonts w:hint="eastAsia"/>
        </w:rPr>
        <w:t>年度と平成</w:t>
      </w:r>
      <w:r>
        <w:rPr>
          <w:rFonts w:hint="eastAsia"/>
        </w:rPr>
        <w:t>24</w:t>
      </w:r>
      <w:r>
        <w:rPr>
          <w:rFonts w:hint="eastAsia"/>
        </w:rPr>
        <w:t>年度の間の差を比較する</w:t>
      </w:r>
      <w:r>
        <w:rPr>
          <w:rFonts w:hint="eastAsia"/>
        </w:rPr>
        <w:t>DID</w:t>
      </w:r>
      <w:r>
        <w:rPr>
          <w:rFonts w:hint="eastAsia"/>
        </w:rPr>
        <w:t>分析を実施する。平成</w:t>
      </w:r>
      <w:r>
        <w:rPr>
          <w:rFonts w:hint="eastAsia"/>
        </w:rPr>
        <w:t>11</w:t>
      </w:r>
      <w:r>
        <w:rPr>
          <w:rFonts w:hint="eastAsia"/>
        </w:rPr>
        <w:t>年と平成</w:t>
      </w:r>
      <w:r>
        <w:rPr>
          <w:rFonts w:hint="eastAsia"/>
        </w:rPr>
        <w:t>24</w:t>
      </w:r>
      <w:r>
        <w:rPr>
          <w:rFonts w:hint="eastAsia"/>
        </w:rPr>
        <w:t>年度を基準年とした理由は、今回の分析対象として選定した民営化事業者の民営化が平成</w:t>
      </w:r>
      <w:r>
        <w:rPr>
          <w:rFonts w:hint="eastAsia"/>
        </w:rPr>
        <w:t>11</w:t>
      </w:r>
      <w:r>
        <w:rPr>
          <w:rFonts w:hint="eastAsia"/>
        </w:rPr>
        <w:t>年から平成</w:t>
      </w:r>
      <w:r>
        <w:rPr>
          <w:rFonts w:hint="eastAsia"/>
        </w:rPr>
        <w:t>24</w:t>
      </w:r>
      <w:r>
        <w:rPr>
          <w:rFonts w:hint="eastAsia"/>
        </w:rPr>
        <w:t>年の間に実施されているためである。</w:t>
      </w:r>
    </w:p>
    <w:p w14:paraId="23F46BBD" w14:textId="77777777" w:rsidR="000E06E6" w:rsidRPr="00271FE9" w:rsidRDefault="000E06E6" w:rsidP="00A60AB7"/>
    <w:p w14:paraId="72D5E6A2" w14:textId="77777777" w:rsidR="00A60AB7" w:rsidRDefault="00271FE9" w:rsidP="00A60AB7">
      <w:r>
        <w:rPr>
          <w:rFonts w:hint="eastAsia"/>
        </w:rPr>
        <w:t>2-2</w:t>
      </w:r>
      <w:r w:rsidR="00906B65">
        <w:rPr>
          <w:rFonts w:hint="eastAsia"/>
        </w:rPr>
        <w:t xml:space="preserve">. </w:t>
      </w:r>
      <w:r w:rsidR="00A60AB7">
        <w:rPr>
          <w:rFonts w:hint="eastAsia"/>
        </w:rPr>
        <w:t>分析対象事業者について</w:t>
      </w:r>
    </w:p>
    <w:p w14:paraId="12FDBECE" w14:textId="77777777" w:rsidR="00745529" w:rsidRDefault="00745529" w:rsidP="00745529">
      <w:pPr>
        <w:ind w:firstLineChars="100" w:firstLine="210"/>
      </w:pPr>
      <w:r>
        <w:rPr>
          <w:rFonts w:hint="eastAsia"/>
        </w:rPr>
        <w:t>本分析における</w:t>
      </w:r>
      <w:r>
        <w:rPr>
          <w:rFonts w:hint="eastAsia"/>
        </w:rPr>
        <w:t>DID</w:t>
      </w:r>
      <w:r>
        <w:rPr>
          <w:rFonts w:hint="eastAsia"/>
        </w:rPr>
        <w:t>分析において、民営化の効果を測定するための分析対象となる事業者群は、①措置群②対象群の２グループに分類したうえで、①を</w:t>
      </w:r>
      <w:r>
        <w:rPr>
          <w:rFonts w:hint="eastAsia"/>
        </w:rPr>
        <w:t>10</w:t>
      </w:r>
      <w:r>
        <w:rPr>
          <w:rFonts w:hint="eastAsia"/>
        </w:rPr>
        <w:t>社、②を</w:t>
      </w:r>
      <w:r>
        <w:rPr>
          <w:rFonts w:hint="eastAsia"/>
        </w:rPr>
        <w:t>11</w:t>
      </w:r>
      <w:r>
        <w:rPr>
          <w:rFonts w:hint="eastAsia"/>
        </w:rPr>
        <w:t>社選定している。①、②の定義と各事業者群は以下の通りである。</w:t>
      </w:r>
    </w:p>
    <w:p w14:paraId="2B8D9252" w14:textId="77777777" w:rsidR="00745529" w:rsidRDefault="00745529" w:rsidP="00745529">
      <w:pPr>
        <w:ind w:firstLineChars="100" w:firstLine="210"/>
      </w:pPr>
    </w:p>
    <w:p w14:paraId="71331114" w14:textId="77777777" w:rsidR="00745529" w:rsidRDefault="00745529" w:rsidP="00745529">
      <w:pPr>
        <w:pStyle w:val="a7"/>
        <w:widowControl w:val="0"/>
        <w:numPr>
          <w:ilvl w:val="0"/>
          <w:numId w:val="8"/>
        </w:numPr>
        <w:ind w:leftChars="0"/>
        <w:jc w:val="both"/>
      </w:pPr>
      <w:r>
        <w:rPr>
          <w:rFonts w:hint="eastAsia"/>
        </w:rPr>
        <w:t>措置群</w:t>
      </w:r>
    </w:p>
    <w:p w14:paraId="4F231C6F" w14:textId="1816E32D" w:rsidR="00745529" w:rsidRDefault="00745529" w:rsidP="00745529">
      <w:pPr>
        <w:ind w:left="360"/>
      </w:pPr>
      <w:r>
        <w:rPr>
          <w:rFonts w:hint="eastAsia"/>
        </w:rPr>
        <w:t>平成</w:t>
      </w:r>
      <w:r>
        <w:rPr>
          <w:rFonts w:hint="eastAsia"/>
        </w:rPr>
        <w:t>10</w:t>
      </w:r>
      <w:r>
        <w:rPr>
          <w:rFonts w:hint="eastAsia"/>
        </w:rPr>
        <w:t>年度以降に民営化された元公営ガス事業者。ただし、該当事業者の民営化による</w:t>
      </w:r>
      <w:r w:rsidR="00F02179">
        <w:rPr>
          <w:rFonts w:hint="eastAsia"/>
        </w:rPr>
        <w:t>経営改善の効果を測定するため、以下の</w:t>
      </w:r>
      <w:r w:rsidR="00F02179">
        <w:rPr>
          <w:rFonts w:hint="eastAsia"/>
        </w:rPr>
        <w:t>2</w:t>
      </w:r>
      <w:r>
        <w:rPr>
          <w:rFonts w:hint="eastAsia"/>
        </w:rPr>
        <w:t>つの場合に当てはまる民営化事業者計</w:t>
      </w:r>
      <w:r>
        <w:rPr>
          <w:rFonts w:hint="eastAsia"/>
        </w:rPr>
        <w:t>7</w:t>
      </w:r>
      <w:r>
        <w:rPr>
          <w:rFonts w:hint="eastAsia"/>
        </w:rPr>
        <w:t>社は除外した。</w:t>
      </w:r>
    </w:p>
    <w:p w14:paraId="1106A505" w14:textId="77777777" w:rsidR="00745529" w:rsidRDefault="00745529" w:rsidP="00745529">
      <w:pPr>
        <w:ind w:left="360"/>
      </w:pPr>
      <w:r>
        <w:rPr>
          <w:rFonts w:hint="eastAsia"/>
        </w:rPr>
        <w:t>ⅰ．東京ガス・大阪ガス・東邦ガスなどの都道府県を超えた広域に都市ガス供給を行う巨大都市ガス事業者に吸収された結果、該当事業者の財務状況を観察することが困難となった場合。</w:t>
      </w:r>
    </w:p>
    <w:p w14:paraId="46F56A5C" w14:textId="77777777" w:rsidR="00745529" w:rsidRPr="00E91BB1" w:rsidRDefault="00745529" w:rsidP="00745529">
      <w:pPr>
        <w:ind w:left="360"/>
      </w:pPr>
      <w:r>
        <w:rPr>
          <w:rFonts w:hint="eastAsia"/>
        </w:rPr>
        <w:t>→鴻巣市ガス水道部、天理市ガス水道局、松山市公営企業局、桑名市ガス・水道部、藤岡市・新町ガス企業団</w:t>
      </w:r>
      <w:r w:rsidR="001D7CE6">
        <w:rPr>
          <w:rFonts w:hint="eastAsia"/>
        </w:rPr>
        <w:t>の計</w:t>
      </w:r>
      <w:r w:rsidR="001D7CE6">
        <w:rPr>
          <w:rFonts w:hint="eastAsia"/>
        </w:rPr>
        <w:t>5</w:t>
      </w:r>
      <w:r>
        <w:rPr>
          <w:rFonts w:hint="eastAsia"/>
        </w:rPr>
        <w:t>社</w:t>
      </w:r>
    </w:p>
    <w:p w14:paraId="4FFE3871" w14:textId="77777777" w:rsidR="00745529" w:rsidRDefault="00745529" w:rsidP="00745529">
      <w:pPr>
        <w:ind w:left="360"/>
      </w:pPr>
      <w:r>
        <w:rPr>
          <w:rFonts w:hint="eastAsia"/>
        </w:rPr>
        <w:lastRenderedPageBreak/>
        <w:t>ⅱ．都市ガス事業以外の事業を行っていた企業に買収された結果、都市ガス以外からの収入である付帯事業収入の総収入に占める割合が過半以上となり、都市ガス事業の民営化による変化を観察することが困難となった場合。</w:t>
      </w:r>
    </w:p>
    <w:p w14:paraId="66C82BE7" w14:textId="77777777" w:rsidR="00745529" w:rsidRDefault="00745529" w:rsidP="00745529">
      <w:pPr>
        <w:ind w:left="360"/>
      </w:pPr>
      <w:r>
        <w:rPr>
          <w:rFonts w:hint="eastAsia"/>
        </w:rPr>
        <w:t>→西脇市企業部、中津市ガス水道局の計</w:t>
      </w:r>
      <w:r>
        <w:rPr>
          <w:rFonts w:hint="eastAsia"/>
        </w:rPr>
        <w:t>2</w:t>
      </w:r>
      <w:r>
        <w:rPr>
          <w:rFonts w:hint="eastAsia"/>
        </w:rPr>
        <w:t>社</w:t>
      </w:r>
    </w:p>
    <w:p w14:paraId="2849297E" w14:textId="77777777" w:rsidR="00745529" w:rsidRDefault="00745529" w:rsidP="00745529">
      <w:pPr>
        <w:ind w:left="360"/>
      </w:pPr>
    </w:p>
    <w:tbl>
      <w:tblPr>
        <w:tblW w:w="5802" w:type="dxa"/>
        <w:tblInd w:w="662" w:type="dxa"/>
        <w:tblCellMar>
          <w:left w:w="99" w:type="dxa"/>
          <w:right w:w="99" w:type="dxa"/>
        </w:tblCellMar>
        <w:tblLook w:val="04A0" w:firstRow="1" w:lastRow="0" w:firstColumn="1" w:lastColumn="0" w:noHBand="0" w:noVBand="1"/>
      </w:tblPr>
      <w:tblGrid>
        <w:gridCol w:w="2825"/>
        <w:gridCol w:w="2977"/>
      </w:tblGrid>
      <w:tr w:rsidR="00745529" w:rsidRPr="00D749C8" w14:paraId="4BCE9015" w14:textId="77777777" w:rsidTr="00574EF3">
        <w:trPr>
          <w:trHeight w:val="270"/>
        </w:trPr>
        <w:tc>
          <w:tcPr>
            <w:tcW w:w="28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981D2"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民営化前</w:t>
            </w:r>
            <w:r>
              <w:rPr>
                <w:rFonts w:ascii="ＭＳ Ｐゴシック" w:eastAsia="ＭＳ Ｐゴシック" w:hAnsi="ＭＳ Ｐゴシック" w:cs="ＭＳ Ｐゴシック" w:hint="eastAsia"/>
                <w:color w:val="000000"/>
                <w:kern w:val="0"/>
                <w:szCs w:val="21"/>
              </w:rPr>
              <w:t>事業者名</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62860DDC"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民営化後</w:t>
            </w:r>
            <w:r>
              <w:rPr>
                <w:rFonts w:ascii="ＭＳ Ｐゴシック" w:eastAsia="ＭＳ Ｐゴシック" w:hAnsi="ＭＳ Ｐゴシック" w:cs="ＭＳ Ｐゴシック" w:hint="eastAsia"/>
                <w:color w:val="000000"/>
                <w:kern w:val="0"/>
                <w:szCs w:val="21"/>
              </w:rPr>
              <w:t>事業者名</w:t>
            </w:r>
          </w:p>
        </w:tc>
      </w:tr>
      <w:tr w:rsidR="00745529" w:rsidRPr="00D749C8" w14:paraId="1A8187CF"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4E7A4354"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秋田市ガス局</w:t>
            </w:r>
          </w:p>
        </w:tc>
        <w:tc>
          <w:tcPr>
            <w:tcW w:w="2977" w:type="dxa"/>
            <w:tcBorders>
              <w:top w:val="nil"/>
              <w:left w:val="nil"/>
              <w:bottom w:val="nil"/>
              <w:right w:val="single" w:sz="8" w:space="0" w:color="auto"/>
            </w:tcBorders>
            <w:shd w:val="clear" w:color="auto" w:fill="auto"/>
            <w:noWrap/>
            <w:vAlign w:val="center"/>
            <w:hideMark/>
          </w:tcPr>
          <w:p w14:paraId="4375D537"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東部瓦斯</w:t>
            </w:r>
            <w:r>
              <w:rPr>
                <w:rFonts w:ascii="ＭＳ Ｐゴシック" w:eastAsia="ＭＳ Ｐゴシック" w:hAnsi="ＭＳ Ｐゴシック" w:cs="ＭＳ Ｐゴシック" w:hint="eastAsia"/>
                <w:color w:val="000000"/>
                <w:kern w:val="0"/>
                <w:szCs w:val="21"/>
              </w:rPr>
              <w:t>（株）</w:t>
            </w:r>
          </w:p>
        </w:tc>
      </w:tr>
      <w:tr w:rsidR="00745529" w:rsidRPr="00D749C8" w14:paraId="01CD5056"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7643C818"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能代市ガス水道局</w:t>
            </w:r>
          </w:p>
        </w:tc>
        <w:tc>
          <w:tcPr>
            <w:tcW w:w="2977" w:type="dxa"/>
            <w:tcBorders>
              <w:top w:val="nil"/>
              <w:left w:val="nil"/>
              <w:bottom w:val="nil"/>
              <w:right w:val="single" w:sz="8" w:space="0" w:color="auto"/>
            </w:tcBorders>
            <w:shd w:val="clear" w:color="auto" w:fill="auto"/>
            <w:noWrap/>
            <w:vAlign w:val="center"/>
            <w:hideMark/>
          </w:tcPr>
          <w:p w14:paraId="21602DE4"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のしろエネルギーサービス</w:t>
            </w:r>
            <w:r>
              <w:rPr>
                <w:rFonts w:ascii="ＭＳ Ｐゴシック" w:eastAsia="ＭＳ Ｐゴシック" w:hAnsi="ＭＳ Ｐゴシック" w:cs="ＭＳ Ｐゴシック" w:hint="eastAsia"/>
                <w:color w:val="000000"/>
                <w:kern w:val="0"/>
                <w:szCs w:val="21"/>
              </w:rPr>
              <w:t>（株）</w:t>
            </w:r>
          </w:p>
        </w:tc>
      </w:tr>
      <w:tr w:rsidR="00745529" w:rsidRPr="00D749C8" w14:paraId="3D3EFADA"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3C8F91D0"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山形県企業局電気ガス課</w:t>
            </w:r>
          </w:p>
        </w:tc>
        <w:tc>
          <w:tcPr>
            <w:tcW w:w="2977" w:type="dxa"/>
            <w:tcBorders>
              <w:top w:val="nil"/>
              <w:left w:val="nil"/>
              <w:bottom w:val="nil"/>
              <w:right w:val="single" w:sz="8" w:space="0" w:color="auto"/>
            </w:tcBorders>
            <w:shd w:val="clear" w:color="auto" w:fill="auto"/>
            <w:noWrap/>
            <w:vAlign w:val="center"/>
            <w:hideMark/>
          </w:tcPr>
          <w:p w14:paraId="6AD9B699"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庄内中部ガス</w:t>
            </w:r>
            <w:r>
              <w:rPr>
                <w:rFonts w:ascii="ＭＳ Ｐゴシック" w:eastAsia="ＭＳ Ｐゴシック" w:hAnsi="ＭＳ Ｐゴシック" w:cs="ＭＳ Ｐゴシック" w:hint="eastAsia"/>
                <w:color w:val="000000"/>
                <w:kern w:val="0"/>
                <w:szCs w:val="21"/>
              </w:rPr>
              <w:t>（株）</w:t>
            </w:r>
          </w:p>
        </w:tc>
      </w:tr>
      <w:tr w:rsidR="00745529" w:rsidRPr="00D749C8" w14:paraId="71301A97"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342A4CFF"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中条町ガス水道課</w:t>
            </w:r>
          </w:p>
        </w:tc>
        <w:tc>
          <w:tcPr>
            <w:tcW w:w="2977" w:type="dxa"/>
            <w:tcBorders>
              <w:top w:val="nil"/>
              <w:left w:val="nil"/>
              <w:bottom w:val="nil"/>
              <w:right w:val="single" w:sz="8" w:space="0" w:color="auto"/>
            </w:tcBorders>
            <w:shd w:val="clear" w:color="auto" w:fill="auto"/>
            <w:noWrap/>
            <w:vAlign w:val="center"/>
            <w:hideMark/>
          </w:tcPr>
          <w:p w14:paraId="55D89745"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新発田ガス</w:t>
            </w:r>
            <w:r>
              <w:rPr>
                <w:rFonts w:ascii="ＭＳ Ｐゴシック" w:eastAsia="ＭＳ Ｐゴシック" w:hAnsi="ＭＳ Ｐゴシック" w:cs="ＭＳ Ｐゴシック" w:hint="eastAsia"/>
                <w:color w:val="000000"/>
                <w:kern w:val="0"/>
                <w:szCs w:val="21"/>
              </w:rPr>
              <w:t>（株）</w:t>
            </w:r>
          </w:p>
        </w:tc>
      </w:tr>
      <w:tr w:rsidR="00745529" w:rsidRPr="00D749C8" w14:paraId="4C15DE9D"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5D78FB9B"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佐賀市ガス局</w:t>
            </w:r>
          </w:p>
        </w:tc>
        <w:tc>
          <w:tcPr>
            <w:tcW w:w="2977" w:type="dxa"/>
            <w:tcBorders>
              <w:top w:val="nil"/>
              <w:left w:val="nil"/>
              <w:bottom w:val="nil"/>
              <w:right w:val="single" w:sz="8" w:space="0" w:color="auto"/>
            </w:tcBorders>
            <w:shd w:val="clear" w:color="auto" w:fill="auto"/>
            <w:noWrap/>
            <w:vAlign w:val="center"/>
            <w:hideMark/>
          </w:tcPr>
          <w:p w14:paraId="055940C1"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佐賀ガス</w:t>
            </w:r>
            <w:r>
              <w:rPr>
                <w:rFonts w:ascii="ＭＳ Ｐゴシック" w:eastAsia="ＭＳ Ｐゴシック" w:hAnsi="ＭＳ Ｐゴシック" w:cs="ＭＳ Ｐゴシック" w:hint="eastAsia"/>
                <w:color w:val="000000"/>
                <w:kern w:val="0"/>
                <w:szCs w:val="21"/>
              </w:rPr>
              <w:t>（株）</w:t>
            </w:r>
          </w:p>
        </w:tc>
      </w:tr>
      <w:tr w:rsidR="00745529" w:rsidRPr="00D749C8" w14:paraId="1BDD7EEA"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7E0A1735"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四街道市企業部</w:t>
            </w:r>
          </w:p>
        </w:tc>
        <w:tc>
          <w:tcPr>
            <w:tcW w:w="2977" w:type="dxa"/>
            <w:tcBorders>
              <w:top w:val="nil"/>
              <w:left w:val="nil"/>
              <w:bottom w:val="nil"/>
              <w:right w:val="single" w:sz="8" w:space="0" w:color="auto"/>
            </w:tcBorders>
            <w:shd w:val="clear" w:color="auto" w:fill="auto"/>
            <w:noWrap/>
            <w:vAlign w:val="center"/>
            <w:hideMark/>
          </w:tcPr>
          <w:p w14:paraId="642934DA"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千葉ガス</w:t>
            </w:r>
            <w:r>
              <w:rPr>
                <w:rFonts w:ascii="ＭＳ Ｐゴシック" w:eastAsia="ＭＳ Ｐゴシック" w:hAnsi="ＭＳ Ｐゴシック" w:cs="ＭＳ Ｐゴシック" w:hint="eastAsia"/>
                <w:color w:val="000000"/>
                <w:kern w:val="0"/>
                <w:szCs w:val="21"/>
              </w:rPr>
              <w:t>（株）</w:t>
            </w:r>
          </w:p>
        </w:tc>
      </w:tr>
      <w:tr w:rsidR="00745529" w:rsidRPr="00D749C8" w14:paraId="1D05CBFC"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1B5AAA2E"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白根市ガス水道局</w:t>
            </w:r>
          </w:p>
        </w:tc>
        <w:tc>
          <w:tcPr>
            <w:tcW w:w="2977" w:type="dxa"/>
            <w:tcBorders>
              <w:top w:val="nil"/>
              <w:left w:val="nil"/>
              <w:bottom w:val="nil"/>
              <w:right w:val="single" w:sz="8" w:space="0" w:color="auto"/>
            </w:tcBorders>
            <w:shd w:val="clear" w:color="auto" w:fill="auto"/>
            <w:noWrap/>
            <w:vAlign w:val="center"/>
            <w:hideMark/>
          </w:tcPr>
          <w:p w14:paraId="003F7205"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白根ガス</w:t>
            </w:r>
            <w:r>
              <w:rPr>
                <w:rFonts w:ascii="ＭＳ Ｐゴシック" w:eastAsia="ＭＳ Ｐゴシック" w:hAnsi="ＭＳ Ｐゴシック" w:cs="ＭＳ Ｐゴシック" w:hint="eastAsia"/>
                <w:color w:val="000000"/>
                <w:kern w:val="0"/>
                <w:szCs w:val="21"/>
              </w:rPr>
              <w:t>（株）</w:t>
            </w:r>
          </w:p>
        </w:tc>
      </w:tr>
      <w:tr w:rsidR="00745529" w:rsidRPr="00D749C8" w14:paraId="6D49AE65"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026F55CC"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長野県企業局ガス課</w:t>
            </w:r>
          </w:p>
        </w:tc>
        <w:tc>
          <w:tcPr>
            <w:tcW w:w="2977" w:type="dxa"/>
            <w:tcBorders>
              <w:top w:val="nil"/>
              <w:left w:val="nil"/>
              <w:bottom w:val="nil"/>
              <w:right w:val="single" w:sz="8" w:space="0" w:color="auto"/>
            </w:tcBorders>
            <w:shd w:val="clear" w:color="auto" w:fill="auto"/>
            <w:noWrap/>
            <w:vAlign w:val="center"/>
            <w:hideMark/>
          </w:tcPr>
          <w:p w14:paraId="043B2D68"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長野都市ガス</w:t>
            </w:r>
            <w:r>
              <w:rPr>
                <w:rFonts w:ascii="ＭＳ Ｐゴシック" w:eastAsia="ＭＳ Ｐゴシック" w:hAnsi="ＭＳ Ｐゴシック" w:cs="ＭＳ Ｐゴシック" w:hint="eastAsia"/>
                <w:color w:val="000000"/>
                <w:kern w:val="0"/>
                <w:szCs w:val="21"/>
              </w:rPr>
              <w:t>（株）</w:t>
            </w:r>
          </w:p>
        </w:tc>
      </w:tr>
      <w:tr w:rsidR="00745529" w:rsidRPr="00D749C8" w14:paraId="1ABBB2DB" w14:textId="77777777" w:rsidTr="00574EF3">
        <w:trPr>
          <w:trHeight w:val="260"/>
        </w:trPr>
        <w:tc>
          <w:tcPr>
            <w:tcW w:w="2825" w:type="dxa"/>
            <w:tcBorders>
              <w:top w:val="nil"/>
              <w:left w:val="single" w:sz="8" w:space="0" w:color="auto"/>
              <w:bottom w:val="nil"/>
              <w:right w:val="single" w:sz="8" w:space="0" w:color="auto"/>
            </w:tcBorders>
            <w:shd w:val="clear" w:color="auto" w:fill="auto"/>
            <w:noWrap/>
            <w:vAlign w:val="center"/>
            <w:hideMark/>
          </w:tcPr>
          <w:p w14:paraId="3EB451B1"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篠山市企業部ガス課</w:t>
            </w:r>
          </w:p>
        </w:tc>
        <w:tc>
          <w:tcPr>
            <w:tcW w:w="2977" w:type="dxa"/>
            <w:tcBorders>
              <w:top w:val="nil"/>
              <w:left w:val="nil"/>
              <w:bottom w:val="nil"/>
              <w:right w:val="single" w:sz="8" w:space="0" w:color="auto"/>
            </w:tcBorders>
            <w:shd w:val="clear" w:color="auto" w:fill="auto"/>
            <w:noWrap/>
            <w:vAlign w:val="center"/>
            <w:hideMark/>
          </w:tcPr>
          <w:p w14:paraId="26AECB58"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篠山都市ガス</w:t>
            </w:r>
            <w:r>
              <w:rPr>
                <w:rFonts w:ascii="ＭＳ Ｐゴシック" w:eastAsia="ＭＳ Ｐゴシック" w:hAnsi="ＭＳ Ｐゴシック" w:cs="ＭＳ Ｐゴシック" w:hint="eastAsia"/>
                <w:color w:val="000000"/>
                <w:kern w:val="0"/>
                <w:szCs w:val="21"/>
              </w:rPr>
              <w:t>（株）</w:t>
            </w:r>
          </w:p>
        </w:tc>
      </w:tr>
      <w:tr w:rsidR="00745529" w:rsidRPr="00D749C8" w14:paraId="00FF143D" w14:textId="77777777" w:rsidTr="00574EF3">
        <w:trPr>
          <w:trHeight w:val="270"/>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DC944C4"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久留米市企業局ガス部</w:t>
            </w:r>
          </w:p>
        </w:tc>
        <w:tc>
          <w:tcPr>
            <w:tcW w:w="2977" w:type="dxa"/>
            <w:tcBorders>
              <w:top w:val="nil"/>
              <w:left w:val="nil"/>
              <w:bottom w:val="single" w:sz="8" w:space="0" w:color="auto"/>
              <w:right w:val="single" w:sz="8" w:space="0" w:color="auto"/>
            </w:tcBorders>
            <w:shd w:val="clear" w:color="auto" w:fill="auto"/>
            <w:noWrap/>
            <w:vAlign w:val="center"/>
            <w:hideMark/>
          </w:tcPr>
          <w:p w14:paraId="1D5FD870" w14:textId="77777777" w:rsidR="00745529" w:rsidRPr="00D749C8" w:rsidRDefault="00745529" w:rsidP="00574EF3">
            <w:pPr>
              <w:widowControl/>
              <w:jc w:val="left"/>
              <w:rPr>
                <w:rFonts w:ascii="ＭＳ Ｐゴシック" w:eastAsia="ＭＳ Ｐゴシック" w:hAnsi="ＭＳ Ｐゴシック" w:cs="ＭＳ Ｐゴシック"/>
                <w:color w:val="000000"/>
                <w:kern w:val="0"/>
                <w:szCs w:val="21"/>
              </w:rPr>
            </w:pPr>
            <w:r w:rsidRPr="00D749C8">
              <w:rPr>
                <w:rFonts w:ascii="ＭＳ Ｐゴシック" w:eastAsia="ＭＳ Ｐゴシック" w:hAnsi="ＭＳ Ｐゴシック" w:cs="ＭＳ Ｐゴシック" w:hint="eastAsia"/>
                <w:color w:val="000000"/>
                <w:kern w:val="0"/>
                <w:szCs w:val="21"/>
              </w:rPr>
              <w:t>久留米ガス</w:t>
            </w:r>
            <w:r>
              <w:rPr>
                <w:rFonts w:ascii="ＭＳ Ｐゴシック" w:eastAsia="ＭＳ Ｐゴシック" w:hAnsi="ＭＳ Ｐゴシック" w:cs="ＭＳ Ｐゴシック" w:hint="eastAsia"/>
                <w:color w:val="000000"/>
                <w:kern w:val="0"/>
                <w:szCs w:val="21"/>
              </w:rPr>
              <w:t>（株）</w:t>
            </w:r>
          </w:p>
        </w:tc>
      </w:tr>
    </w:tbl>
    <w:p w14:paraId="54B80994" w14:textId="77777777" w:rsidR="00745529" w:rsidRDefault="00745529" w:rsidP="00745529"/>
    <w:p w14:paraId="33544D0E" w14:textId="77777777" w:rsidR="00745529" w:rsidRDefault="00745529" w:rsidP="00745529">
      <w:pPr>
        <w:pStyle w:val="a7"/>
        <w:widowControl w:val="0"/>
        <w:numPr>
          <w:ilvl w:val="0"/>
          <w:numId w:val="8"/>
        </w:numPr>
        <w:ind w:leftChars="0"/>
        <w:jc w:val="both"/>
      </w:pPr>
      <w:r>
        <w:rPr>
          <w:rFonts w:hint="eastAsia"/>
        </w:rPr>
        <w:t>対照群</w:t>
      </w:r>
    </w:p>
    <w:p w14:paraId="441CF2AB" w14:textId="77777777" w:rsidR="00745529" w:rsidRDefault="00745529" w:rsidP="00745529">
      <w:pPr>
        <w:ind w:left="420"/>
      </w:pPr>
      <w:r>
        <w:rPr>
          <w:rFonts w:hint="eastAsia"/>
        </w:rPr>
        <w:t>平成</w:t>
      </w:r>
      <w:r>
        <w:rPr>
          <w:rFonts w:hint="eastAsia"/>
        </w:rPr>
        <w:t>24</w:t>
      </w:r>
      <w:r>
        <w:rPr>
          <w:rFonts w:hint="eastAsia"/>
        </w:rPr>
        <w:t>年時に公営事業者として存在した</w:t>
      </w:r>
      <w:r>
        <w:rPr>
          <w:rFonts w:hint="eastAsia"/>
        </w:rPr>
        <w:t>29</w:t>
      </w:r>
      <w:r>
        <w:rPr>
          <w:rFonts w:hint="eastAsia"/>
        </w:rPr>
        <w:t>社の平成</w:t>
      </w:r>
      <w:r>
        <w:rPr>
          <w:rFonts w:hint="eastAsia"/>
        </w:rPr>
        <w:t>11</w:t>
      </w:r>
      <w:r>
        <w:rPr>
          <w:rFonts w:hint="eastAsia"/>
        </w:rPr>
        <w:t>年時のガス売上高を措置群</w:t>
      </w:r>
      <w:r>
        <w:rPr>
          <w:rFonts w:hint="eastAsia"/>
        </w:rPr>
        <w:t>10</w:t>
      </w:r>
      <w:r>
        <w:rPr>
          <w:rFonts w:hint="eastAsia"/>
        </w:rPr>
        <w:t>社の各社の平成</w:t>
      </w:r>
      <w:r>
        <w:rPr>
          <w:rFonts w:hint="eastAsia"/>
        </w:rPr>
        <w:t>11</w:t>
      </w:r>
      <w:r>
        <w:rPr>
          <w:rFonts w:hint="eastAsia"/>
        </w:rPr>
        <w:t>年時点のガス売上高と比較し、差が最も小さい公営都市ガス事業者計</w:t>
      </w:r>
      <w:r>
        <w:rPr>
          <w:rFonts w:hint="eastAsia"/>
        </w:rPr>
        <w:t>11</w:t>
      </w:r>
      <w:r>
        <w:rPr>
          <w:rFonts w:hint="eastAsia"/>
        </w:rPr>
        <w:t>社を対照群として選定した。ただし、差が最少となる公営事業者が重複した措置群が</w:t>
      </w:r>
      <w:r>
        <w:rPr>
          <w:rFonts w:hint="eastAsia"/>
        </w:rPr>
        <w:t>2</w:t>
      </w:r>
      <w:r>
        <w:rPr>
          <w:rFonts w:hint="eastAsia"/>
        </w:rPr>
        <w:t>社存在したため、差が</w:t>
      </w:r>
      <w:r>
        <w:rPr>
          <w:rFonts w:hint="eastAsia"/>
        </w:rPr>
        <w:t>2</w:t>
      </w:r>
      <w:r>
        <w:rPr>
          <w:rFonts w:hint="eastAsia"/>
        </w:rPr>
        <w:t>番目に小さい事業者をさらに対照群として</w:t>
      </w:r>
      <w:r>
        <w:rPr>
          <w:rFonts w:hint="eastAsia"/>
        </w:rPr>
        <w:t>2</w:t>
      </w:r>
      <w:r>
        <w:rPr>
          <w:rFonts w:hint="eastAsia"/>
        </w:rPr>
        <w:t>社加えている。</w:t>
      </w:r>
    </w:p>
    <w:p w14:paraId="25966922" w14:textId="77777777" w:rsidR="00745529" w:rsidRPr="00B713E5" w:rsidRDefault="00745529" w:rsidP="00745529">
      <w:pPr>
        <w:ind w:left="420"/>
      </w:pPr>
    </w:p>
    <w:tbl>
      <w:tblPr>
        <w:tblW w:w="2400" w:type="dxa"/>
        <w:tblInd w:w="562" w:type="dxa"/>
        <w:tblCellMar>
          <w:left w:w="99" w:type="dxa"/>
          <w:right w:w="99" w:type="dxa"/>
        </w:tblCellMar>
        <w:tblLook w:val="04A0" w:firstRow="1" w:lastRow="0" w:firstColumn="1" w:lastColumn="0" w:noHBand="0" w:noVBand="1"/>
      </w:tblPr>
      <w:tblGrid>
        <w:gridCol w:w="2400"/>
      </w:tblGrid>
      <w:tr w:rsidR="00745529" w:rsidRPr="00FA5E21" w14:paraId="7C3A317A" w14:textId="77777777" w:rsidTr="00574EF3">
        <w:trPr>
          <w:trHeight w:val="270"/>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BFD1E"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事業者名</w:t>
            </w:r>
          </w:p>
        </w:tc>
      </w:tr>
      <w:tr w:rsidR="00745529" w:rsidRPr="00FA5E21" w14:paraId="256DF112" w14:textId="77777777" w:rsidTr="00574EF3">
        <w:trPr>
          <w:trHeight w:val="270"/>
        </w:trPr>
        <w:tc>
          <w:tcPr>
            <w:tcW w:w="2400" w:type="dxa"/>
            <w:tcBorders>
              <w:top w:val="nil"/>
              <w:left w:val="single" w:sz="8" w:space="0" w:color="auto"/>
              <w:bottom w:val="nil"/>
              <w:right w:val="single" w:sz="8" w:space="0" w:color="auto"/>
            </w:tcBorders>
            <w:shd w:val="clear" w:color="auto" w:fill="auto"/>
            <w:noWrap/>
            <w:vAlign w:val="center"/>
            <w:hideMark/>
          </w:tcPr>
          <w:p w14:paraId="5F88FD65"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上越市ガス水道局</w:t>
            </w:r>
          </w:p>
        </w:tc>
      </w:tr>
      <w:tr w:rsidR="00745529" w:rsidRPr="00FA5E21" w14:paraId="1A66DFD2"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05C6102A"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柏崎市ガス水道局</w:t>
            </w:r>
          </w:p>
        </w:tc>
      </w:tr>
      <w:tr w:rsidR="00745529" w:rsidRPr="00FA5E21" w14:paraId="1827F98F"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77A5367B"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男鹿市企業局</w:t>
            </w:r>
          </w:p>
        </w:tc>
      </w:tr>
      <w:tr w:rsidR="00745529" w:rsidRPr="00FA5E21" w14:paraId="48336A2F"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509D9394"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富岡市ガス水道局</w:t>
            </w:r>
          </w:p>
        </w:tc>
      </w:tr>
      <w:tr w:rsidR="00745529" w:rsidRPr="00FA5E21" w14:paraId="21496C07"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777D699C"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糸魚川市ガス水道局</w:t>
            </w:r>
          </w:p>
        </w:tc>
      </w:tr>
      <w:tr w:rsidR="00745529" w:rsidRPr="00FA5E21" w14:paraId="65A61536"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18C200D1"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松江市ガス局</w:t>
            </w:r>
          </w:p>
        </w:tc>
      </w:tr>
      <w:tr w:rsidR="00745529" w:rsidRPr="00FA5E21" w14:paraId="260E1CAD"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2F8896CE"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東金市企業部ガス課</w:t>
            </w:r>
          </w:p>
        </w:tc>
      </w:tr>
      <w:tr w:rsidR="00745529" w:rsidRPr="00FA5E21" w14:paraId="67FCABA5"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066EE966"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見附市ガス水道局</w:t>
            </w:r>
          </w:p>
        </w:tc>
      </w:tr>
      <w:tr w:rsidR="00745529" w:rsidRPr="00FA5E21" w14:paraId="520A9FE5"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6351BE9E"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福井市企業局</w:t>
            </w:r>
          </w:p>
        </w:tc>
      </w:tr>
      <w:tr w:rsidR="00745529" w:rsidRPr="00FA5E21" w14:paraId="5E63798B" w14:textId="77777777" w:rsidTr="00574EF3">
        <w:trPr>
          <w:trHeight w:val="260"/>
        </w:trPr>
        <w:tc>
          <w:tcPr>
            <w:tcW w:w="2400" w:type="dxa"/>
            <w:tcBorders>
              <w:top w:val="nil"/>
              <w:left w:val="single" w:sz="8" w:space="0" w:color="auto"/>
              <w:bottom w:val="nil"/>
              <w:right w:val="single" w:sz="8" w:space="0" w:color="auto"/>
            </w:tcBorders>
            <w:shd w:val="clear" w:color="auto" w:fill="auto"/>
            <w:noWrap/>
            <w:vAlign w:val="center"/>
            <w:hideMark/>
          </w:tcPr>
          <w:p w14:paraId="7CA4EEA0"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白子町ガス事業所</w:t>
            </w:r>
          </w:p>
        </w:tc>
      </w:tr>
      <w:tr w:rsidR="00745529" w:rsidRPr="00FA5E21" w14:paraId="4A5C631F" w14:textId="77777777" w:rsidTr="00574EF3">
        <w:trPr>
          <w:trHeight w:val="270"/>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93AA86F" w14:textId="77777777" w:rsidR="00745529" w:rsidRPr="00FA5E21" w:rsidRDefault="00745529" w:rsidP="00574EF3">
            <w:pPr>
              <w:widowControl/>
              <w:jc w:val="left"/>
              <w:rPr>
                <w:rFonts w:ascii="ＭＳ Ｐゴシック" w:eastAsia="ＭＳ Ｐゴシック" w:hAnsi="ＭＳ Ｐゴシック" w:cs="ＭＳ Ｐゴシック"/>
                <w:color w:val="000000"/>
                <w:kern w:val="0"/>
                <w:szCs w:val="21"/>
              </w:rPr>
            </w:pPr>
            <w:r w:rsidRPr="00FA5E21">
              <w:rPr>
                <w:rFonts w:ascii="ＭＳ Ｐゴシック" w:eastAsia="ＭＳ Ｐゴシック" w:hAnsi="ＭＳ Ｐゴシック" w:cs="ＭＳ Ｐゴシック" w:hint="eastAsia"/>
                <w:color w:val="000000"/>
                <w:kern w:val="0"/>
                <w:szCs w:val="21"/>
              </w:rPr>
              <w:t>宇部市ガス局</w:t>
            </w:r>
          </w:p>
        </w:tc>
      </w:tr>
    </w:tbl>
    <w:p w14:paraId="7C14EA11" w14:textId="77777777" w:rsidR="00A60AB7" w:rsidRDefault="00271FE9" w:rsidP="00A60AB7">
      <w:r>
        <w:rPr>
          <w:rFonts w:hint="eastAsia"/>
        </w:rPr>
        <w:lastRenderedPageBreak/>
        <w:t>2-3</w:t>
      </w:r>
      <w:r w:rsidR="00D70A27">
        <w:rPr>
          <w:rFonts w:hint="eastAsia"/>
        </w:rPr>
        <w:t xml:space="preserve">. </w:t>
      </w:r>
      <w:r w:rsidR="00A60AB7">
        <w:rPr>
          <w:rFonts w:hint="eastAsia"/>
        </w:rPr>
        <w:t>分析に使用するデータについて</w:t>
      </w:r>
    </w:p>
    <w:p w14:paraId="49647700" w14:textId="77777777" w:rsidR="00745529" w:rsidRPr="00745529" w:rsidRDefault="00745529" w:rsidP="00745529">
      <w:pPr>
        <w:ind w:firstLineChars="100" w:firstLine="210"/>
      </w:pPr>
      <w:r>
        <w:rPr>
          <w:rFonts w:hint="eastAsia"/>
        </w:rPr>
        <w:t>本分析に使用するデータについては、資源エネルギー庁が毎年発行している「ガス事業年報」に記載されている営業データ及び供給データを、物価変動の影響を除外するために</w:t>
      </w:r>
      <w:r>
        <w:rPr>
          <w:rFonts w:hint="eastAsia"/>
        </w:rPr>
        <w:t>GDP</w:t>
      </w:r>
      <w:r>
        <w:rPr>
          <w:rFonts w:hint="eastAsia"/>
        </w:rPr>
        <w:t>デフレーターを用いて実質化したデータを使用することとする。中でも、各事業者の経営状況を端的に把握するデータとして「経常利益」を、事業効率を表すデータとして「（売上原価を除いた）営業費用」を使用する。</w:t>
      </w:r>
    </w:p>
    <w:p w14:paraId="2E361956" w14:textId="77777777" w:rsidR="00745529" w:rsidRPr="00072C41" w:rsidRDefault="00745529" w:rsidP="00A60AB7"/>
    <w:p w14:paraId="6C76C604" w14:textId="77777777" w:rsidR="00A60AB7" w:rsidRDefault="00271FE9" w:rsidP="00A60AB7">
      <w:r>
        <w:rPr>
          <w:rFonts w:hint="eastAsia"/>
        </w:rPr>
        <w:t>2-4</w:t>
      </w:r>
      <w:r w:rsidR="00D70A27">
        <w:rPr>
          <w:rFonts w:hint="eastAsia"/>
        </w:rPr>
        <w:t xml:space="preserve">. </w:t>
      </w:r>
      <w:r w:rsidR="00A60AB7">
        <w:rPr>
          <w:rFonts w:hint="eastAsia"/>
        </w:rPr>
        <w:t>予察</w:t>
      </w:r>
    </w:p>
    <w:p w14:paraId="23977620" w14:textId="77777777" w:rsidR="006E6F16" w:rsidRPr="006E6F16" w:rsidRDefault="006E6F16" w:rsidP="006E6F16">
      <w:pPr>
        <w:ind w:firstLineChars="100" w:firstLine="210"/>
      </w:pPr>
      <w:r>
        <w:rPr>
          <w:rFonts w:hint="eastAsia"/>
        </w:rPr>
        <w:t>「単位当たりデータ」を使用した</w:t>
      </w:r>
      <w:r>
        <w:rPr>
          <w:rFonts w:hint="eastAsia"/>
        </w:rPr>
        <w:t>DID</w:t>
      </w:r>
      <w:r>
        <w:rPr>
          <w:rFonts w:hint="eastAsia"/>
        </w:rPr>
        <w:t>分析を実施する前段階として、措置群と対照群の営業データの平成</w:t>
      </w:r>
      <w:r>
        <w:rPr>
          <w:rFonts w:hint="eastAsia"/>
        </w:rPr>
        <w:t>11</w:t>
      </w:r>
      <w:r>
        <w:rPr>
          <w:rFonts w:hint="eastAsia"/>
        </w:rPr>
        <w:t>年から平成</w:t>
      </w:r>
      <w:r>
        <w:rPr>
          <w:rFonts w:hint="eastAsia"/>
        </w:rPr>
        <w:t>21</w:t>
      </w:r>
      <w:r>
        <w:rPr>
          <w:rFonts w:hint="eastAsia"/>
        </w:rPr>
        <w:t>年の変化に関して、グラフを用いて視覚的に変化を読み取り、分析を実施する際の仮説を構築する。</w:t>
      </w:r>
      <w:r w:rsidR="00033657">
        <w:rPr>
          <w:rFonts w:hint="eastAsia"/>
        </w:rPr>
        <w:t>なお、予察における各図及び表中の数値の単位は万円である。</w:t>
      </w:r>
    </w:p>
    <w:p w14:paraId="049B680B" w14:textId="77777777" w:rsidR="00A60AB7" w:rsidRPr="00105413" w:rsidRDefault="00A60AB7" w:rsidP="00A60AB7"/>
    <w:p w14:paraId="58F32D3C" w14:textId="77777777" w:rsidR="00A60AB7" w:rsidRPr="0067583D" w:rsidRDefault="00271FE9" w:rsidP="00A60AB7">
      <w:r>
        <w:rPr>
          <w:rFonts w:hint="eastAsia"/>
        </w:rPr>
        <w:t>2-4</w:t>
      </w:r>
      <w:r w:rsidR="00D70A27">
        <w:rPr>
          <w:rFonts w:hint="eastAsia"/>
        </w:rPr>
        <w:t xml:space="preserve">-1. </w:t>
      </w:r>
      <w:r w:rsidR="00A60AB7">
        <w:rPr>
          <w:rFonts w:hint="eastAsia"/>
        </w:rPr>
        <w:t>営業費用</w:t>
      </w:r>
    </w:p>
    <w:p w14:paraId="23E61AB7" w14:textId="7DDCC708" w:rsidR="00685F6B" w:rsidRDefault="00685F6B" w:rsidP="007A3522">
      <w:pPr>
        <w:ind w:firstLineChars="100" w:firstLine="210"/>
        <w:rPr>
          <w:rFonts w:hint="eastAsia"/>
        </w:rPr>
      </w:pPr>
      <w:r>
        <w:rPr>
          <w:rFonts w:hint="eastAsia"/>
        </w:rPr>
        <w:t>下図</w:t>
      </w:r>
      <w:r w:rsidR="00033657">
        <w:rPr>
          <w:rFonts w:hint="eastAsia"/>
        </w:rPr>
        <w:t>3</w:t>
      </w:r>
      <w:r>
        <w:rPr>
          <w:rFonts w:hint="eastAsia"/>
        </w:rPr>
        <w:t>及び表</w:t>
      </w:r>
      <w:r w:rsidR="00033657">
        <w:rPr>
          <w:rFonts w:hint="eastAsia"/>
        </w:rPr>
        <w:t>1</w:t>
      </w:r>
      <w:r>
        <w:rPr>
          <w:rFonts w:hint="eastAsia"/>
        </w:rPr>
        <w:t>からも分かる通り、民営化事業者と公営事業者ともに営業費用に関しては、ほぼ変化なしか増加に分かれている。ただし費用の増加が見られる事業者に関しては、供給区域内世帯数の増加が伴っているため、事業効率の変化による影響ではなく、単なる供給ガス量の増加によって費用の増加がもたらされていると考えられる。また、一見すると民営化事業者のほうが営業費用の増加率が全体的に高いと見ることができるが、これは単に民営化事業者は吸収もしくは合併により民営化したため、供給区域内世帯数などの規模の拡大割合が大きく、その影響が出たためだと考えられる。</w:t>
      </w:r>
    </w:p>
    <w:p w14:paraId="19CC7BDD" w14:textId="77777777" w:rsidR="007A3522" w:rsidRPr="007A3522" w:rsidRDefault="007A3522" w:rsidP="007A3522">
      <w:pPr>
        <w:ind w:firstLineChars="100" w:firstLine="210"/>
      </w:pPr>
    </w:p>
    <w:p w14:paraId="4D9B9ACC" w14:textId="77777777" w:rsidR="00685F6B" w:rsidRDefault="00685F6B" w:rsidP="00685F6B">
      <w:r>
        <w:rPr>
          <w:rFonts w:hint="eastAsia"/>
        </w:rPr>
        <w:t>図</w:t>
      </w:r>
      <w:r w:rsidR="00615432">
        <w:rPr>
          <w:rFonts w:hint="eastAsia"/>
        </w:rPr>
        <w:t>3</w:t>
      </w:r>
      <w:r w:rsidR="00033657">
        <w:rPr>
          <w:rFonts w:hint="eastAsia"/>
        </w:rPr>
        <w:t xml:space="preserve">　民営化事業者・公営事業者営業費用（売上原価を除く）変化</w:t>
      </w:r>
    </w:p>
    <w:p w14:paraId="76584CF2" w14:textId="4724B402" w:rsidR="007A3522" w:rsidRDefault="00685F6B" w:rsidP="00685F6B">
      <w:r>
        <w:rPr>
          <w:noProof/>
        </w:rPr>
        <w:drawing>
          <wp:inline distT="0" distB="0" distL="0" distR="0" wp14:anchorId="0F78C0A3" wp14:editId="2682D9E0">
            <wp:extent cx="5348605" cy="1943100"/>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8605" cy="1943100"/>
                    </a:xfrm>
                    <a:prstGeom prst="rect">
                      <a:avLst/>
                    </a:prstGeom>
                    <a:noFill/>
                    <a:ln>
                      <a:noFill/>
                    </a:ln>
                  </pic:spPr>
                </pic:pic>
              </a:graphicData>
            </a:graphic>
          </wp:inline>
        </w:drawing>
      </w:r>
    </w:p>
    <w:p w14:paraId="661A95F4" w14:textId="77777777" w:rsidR="007A3522" w:rsidRDefault="007A3522" w:rsidP="00685F6B">
      <w:pPr>
        <w:rPr>
          <w:rFonts w:hint="eastAsia"/>
        </w:rPr>
      </w:pPr>
    </w:p>
    <w:p w14:paraId="24F79AB1" w14:textId="77777777" w:rsidR="007A3522" w:rsidRDefault="007A3522" w:rsidP="00685F6B">
      <w:pPr>
        <w:rPr>
          <w:rFonts w:hint="eastAsia"/>
        </w:rPr>
      </w:pPr>
    </w:p>
    <w:p w14:paraId="49F6451A" w14:textId="77777777" w:rsidR="007A3522" w:rsidRDefault="007A3522" w:rsidP="00685F6B">
      <w:pPr>
        <w:rPr>
          <w:rFonts w:hint="eastAsia"/>
        </w:rPr>
      </w:pPr>
    </w:p>
    <w:p w14:paraId="07C5D742" w14:textId="77777777" w:rsidR="007A3522" w:rsidRDefault="007A3522" w:rsidP="00685F6B">
      <w:pPr>
        <w:rPr>
          <w:rFonts w:hint="eastAsia"/>
        </w:rPr>
      </w:pPr>
    </w:p>
    <w:p w14:paraId="325A7550" w14:textId="77777777" w:rsidR="00685F6B" w:rsidRDefault="00685F6B" w:rsidP="00685F6B">
      <w:r>
        <w:rPr>
          <w:rFonts w:hint="eastAsia"/>
        </w:rPr>
        <w:lastRenderedPageBreak/>
        <w:t>表</w:t>
      </w:r>
      <w:r w:rsidR="00615432">
        <w:rPr>
          <w:rFonts w:hint="eastAsia"/>
        </w:rPr>
        <w:t>1</w:t>
      </w:r>
      <w:r w:rsidR="00033657">
        <w:rPr>
          <w:rFonts w:hint="eastAsia"/>
        </w:rPr>
        <w:t xml:space="preserve">　民営化事業者・公営事業者実質営業費用（売上原価を除く）</w:t>
      </w:r>
    </w:p>
    <w:p w14:paraId="53535042" w14:textId="77777777" w:rsidR="00685F6B" w:rsidRDefault="00685F6B" w:rsidP="006E6F16">
      <w:r w:rsidRPr="008B3E0E">
        <w:rPr>
          <w:rFonts w:hint="eastAsia"/>
          <w:noProof/>
        </w:rPr>
        <w:drawing>
          <wp:inline distT="0" distB="0" distL="0" distR="0" wp14:anchorId="04ED23BF" wp14:editId="188100CD">
            <wp:extent cx="5400040" cy="15659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565965"/>
                    </a:xfrm>
                    <a:prstGeom prst="rect">
                      <a:avLst/>
                    </a:prstGeom>
                    <a:noFill/>
                    <a:ln>
                      <a:noFill/>
                    </a:ln>
                  </pic:spPr>
                </pic:pic>
              </a:graphicData>
            </a:graphic>
          </wp:inline>
        </w:drawing>
      </w:r>
    </w:p>
    <w:p w14:paraId="3E3AD7C8" w14:textId="77777777" w:rsidR="00685F6B" w:rsidRDefault="00685F6B" w:rsidP="006E6F16"/>
    <w:p w14:paraId="7274EB65" w14:textId="77777777" w:rsidR="0036228D" w:rsidRDefault="00271FE9" w:rsidP="006E6F16">
      <w:r>
        <w:rPr>
          <w:rFonts w:hint="eastAsia"/>
        </w:rPr>
        <w:t>2-4</w:t>
      </w:r>
      <w:r w:rsidR="00D70A27">
        <w:rPr>
          <w:rFonts w:hint="eastAsia"/>
        </w:rPr>
        <w:t xml:space="preserve">-2. </w:t>
      </w:r>
      <w:r w:rsidR="00A60AB7">
        <w:rPr>
          <w:rFonts w:hint="eastAsia"/>
        </w:rPr>
        <w:t>経常利益</w:t>
      </w:r>
    </w:p>
    <w:p w14:paraId="240733CD" w14:textId="348CCEBC" w:rsidR="00685F6B" w:rsidRDefault="00685F6B" w:rsidP="007A3522">
      <w:pPr>
        <w:ind w:firstLineChars="100" w:firstLine="210"/>
      </w:pPr>
      <w:r>
        <w:rPr>
          <w:rFonts w:hint="eastAsia"/>
        </w:rPr>
        <w:t>経常利益に関しては、民営化事業者・公営事業者ともに、規則性なく事業者ごとに経常利益が推移していることは下図</w:t>
      </w:r>
      <w:r w:rsidR="00033657">
        <w:rPr>
          <w:rFonts w:hint="eastAsia"/>
        </w:rPr>
        <w:t>4</w:t>
      </w:r>
      <w:r>
        <w:rPr>
          <w:rFonts w:hint="eastAsia"/>
        </w:rPr>
        <w:t>及び表</w:t>
      </w:r>
      <w:r w:rsidR="00033657">
        <w:rPr>
          <w:rFonts w:hint="eastAsia"/>
        </w:rPr>
        <w:t>2</w:t>
      </w:r>
      <w:r>
        <w:rPr>
          <w:rFonts w:hint="eastAsia"/>
        </w:rPr>
        <w:t>からも明らかである。また、上述の営業費用の変化と関連させて見ると、民営化事業者に関しては営業費用増加の伸び率が高い事業者が経常利益に関しても増加伸び率が高いと見ることができる</w:t>
      </w:r>
      <w:r>
        <w:rPr>
          <w:rStyle w:val="aa"/>
        </w:rPr>
        <w:footnoteReference w:id="4"/>
      </w:r>
      <w:r>
        <w:rPr>
          <w:rFonts w:hint="eastAsia"/>
        </w:rPr>
        <w:t>。一方で公営事業者に関しては、民営化事業者に見られるような規則性は発見することができない。</w:t>
      </w:r>
    </w:p>
    <w:p w14:paraId="435B1125" w14:textId="77777777" w:rsidR="00615432" w:rsidRDefault="00615432" w:rsidP="00685F6B">
      <w:pPr>
        <w:ind w:firstLineChars="100" w:firstLine="210"/>
      </w:pPr>
    </w:p>
    <w:p w14:paraId="17AD91D5" w14:textId="77777777" w:rsidR="00685F6B" w:rsidRDefault="00685F6B" w:rsidP="00685F6B">
      <w:r>
        <w:rPr>
          <w:rFonts w:hint="eastAsia"/>
        </w:rPr>
        <w:t>図</w:t>
      </w:r>
      <w:r w:rsidR="00615432">
        <w:rPr>
          <w:rFonts w:hint="eastAsia"/>
        </w:rPr>
        <w:t>4</w:t>
      </w:r>
      <w:r w:rsidR="00033657">
        <w:t xml:space="preserve"> </w:t>
      </w:r>
      <w:r w:rsidR="00033657">
        <w:rPr>
          <w:rFonts w:hint="eastAsia"/>
        </w:rPr>
        <w:t>民営化事業者・公営事業者経常利益変化</w:t>
      </w:r>
    </w:p>
    <w:p w14:paraId="082D1411" w14:textId="18E3CEA7" w:rsidR="00685F6B" w:rsidRDefault="00685F6B" w:rsidP="00685F6B">
      <w:r>
        <w:rPr>
          <w:noProof/>
        </w:rPr>
        <w:drawing>
          <wp:inline distT="0" distB="0" distL="0" distR="0" wp14:anchorId="2808649B" wp14:editId="6508679F">
            <wp:extent cx="5374640" cy="1866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866900"/>
                    </a:xfrm>
                    <a:prstGeom prst="rect">
                      <a:avLst/>
                    </a:prstGeom>
                    <a:noFill/>
                    <a:ln>
                      <a:noFill/>
                    </a:ln>
                  </pic:spPr>
                </pic:pic>
              </a:graphicData>
            </a:graphic>
          </wp:inline>
        </w:drawing>
      </w:r>
    </w:p>
    <w:p w14:paraId="446775DD" w14:textId="77777777" w:rsidR="00685F6B" w:rsidRDefault="00685F6B" w:rsidP="00685F6B">
      <w:r>
        <w:rPr>
          <w:rFonts w:hint="eastAsia"/>
        </w:rPr>
        <w:t>表</w:t>
      </w:r>
      <w:r w:rsidR="00615432">
        <w:rPr>
          <w:rFonts w:hint="eastAsia"/>
        </w:rPr>
        <w:t>2</w:t>
      </w:r>
      <w:r w:rsidR="00033657">
        <w:rPr>
          <w:rFonts w:hint="eastAsia"/>
        </w:rPr>
        <w:t xml:space="preserve">　民営化事業者・公営事業者経常利益</w:t>
      </w:r>
    </w:p>
    <w:p w14:paraId="50218723" w14:textId="77777777" w:rsidR="00196103" w:rsidRDefault="00685F6B" w:rsidP="00A60AB7">
      <w:r w:rsidRPr="008B3E0E">
        <w:rPr>
          <w:noProof/>
        </w:rPr>
        <w:drawing>
          <wp:inline distT="0" distB="0" distL="0" distR="0" wp14:anchorId="0E7C2C63" wp14:editId="4CBF7B7A">
            <wp:extent cx="5400040" cy="156596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565965"/>
                    </a:xfrm>
                    <a:prstGeom prst="rect">
                      <a:avLst/>
                    </a:prstGeom>
                    <a:noFill/>
                    <a:ln>
                      <a:noFill/>
                    </a:ln>
                  </pic:spPr>
                </pic:pic>
              </a:graphicData>
            </a:graphic>
          </wp:inline>
        </w:drawing>
      </w:r>
    </w:p>
    <w:p w14:paraId="02D8A08F" w14:textId="77777777" w:rsidR="00685F6B" w:rsidRDefault="00685F6B" w:rsidP="00685F6B">
      <w:r>
        <w:rPr>
          <w:rFonts w:hint="eastAsia"/>
        </w:rPr>
        <w:lastRenderedPageBreak/>
        <w:t xml:space="preserve">2-4-3. </w:t>
      </w:r>
      <w:r>
        <w:rPr>
          <w:rFonts w:hint="eastAsia"/>
        </w:rPr>
        <w:t>単位当たり営業費用（売上原価を除く）</w:t>
      </w:r>
    </w:p>
    <w:p w14:paraId="4B942F24" w14:textId="77777777" w:rsidR="00685F6B" w:rsidRDefault="00685F6B" w:rsidP="00685F6B">
      <w:pPr>
        <w:ind w:firstLineChars="100" w:firstLine="210"/>
      </w:pPr>
      <w:r>
        <w:rPr>
          <w:rFonts w:hint="eastAsia"/>
        </w:rPr>
        <w:t>下図及び下表から分かる通り、民営化事業者の半数が減少しているが、公営事業者は</w:t>
      </w:r>
      <w:r>
        <w:rPr>
          <w:rFonts w:hint="eastAsia"/>
        </w:rPr>
        <w:t>1</w:t>
      </w:r>
      <w:r>
        <w:rPr>
          <w:rFonts w:hint="eastAsia"/>
        </w:rPr>
        <w:t>社を除き増加している。このことから、単位当たり営業費用に関しては民営化が有意に一定程度の影響を与えている可能性は高い。一方で、差分の平均値は民営化事業者が高くなっている原因としては、単位当たり費用が増加している事業者に関しては、単位当たり費用増加の公営事業者よりもその増加幅が大きくなっているためである。</w:t>
      </w:r>
    </w:p>
    <w:p w14:paraId="0EE163D5" w14:textId="77777777" w:rsidR="00615432" w:rsidRPr="009512B9" w:rsidRDefault="00615432" w:rsidP="00685F6B">
      <w:pPr>
        <w:ind w:firstLineChars="100" w:firstLine="210"/>
      </w:pPr>
    </w:p>
    <w:p w14:paraId="77BF8E22" w14:textId="77777777" w:rsidR="00685F6B" w:rsidRDefault="00685F6B" w:rsidP="00685F6B">
      <w:r>
        <w:rPr>
          <w:rFonts w:hint="eastAsia"/>
        </w:rPr>
        <w:t>図</w:t>
      </w:r>
      <w:r w:rsidR="00615432">
        <w:rPr>
          <w:rFonts w:hint="eastAsia"/>
        </w:rPr>
        <w:t>5</w:t>
      </w:r>
      <w:r w:rsidR="00033657">
        <w:rPr>
          <w:rFonts w:hint="eastAsia"/>
        </w:rPr>
        <w:t xml:space="preserve">　民営化事業者・公営事業者単位当たり営業費用（売上原価を除く）変化</w:t>
      </w:r>
    </w:p>
    <w:p w14:paraId="0ABCB18E" w14:textId="77777777" w:rsidR="00685F6B" w:rsidRDefault="00685F6B" w:rsidP="00685F6B">
      <w:r>
        <w:rPr>
          <w:noProof/>
        </w:rPr>
        <w:drawing>
          <wp:inline distT="0" distB="0" distL="0" distR="0" wp14:anchorId="68F0C2EC" wp14:editId="7772BC23">
            <wp:extent cx="5387340" cy="2012950"/>
            <wp:effectExtent l="0" t="0" r="381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2012950"/>
                    </a:xfrm>
                    <a:prstGeom prst="rect">
                      <a:avLst/>
                    </a:prstGeom>
                    <a:noFill/>
                    <a:ln>
                      <a:noFill/>
                    </a:ln>
                  </pic:spPr>
                </pic:pic>
              </a:graphicData>
            </a:graphic>
          </wp:inline>
        </w:drawing>
      </w:r>
    </w:p>
    <w:p w14:paraId="03F44A2A" w14:textId="77777777" w:rsidR="00685F6B" w:rsidRDefault="00685F6B" w:rsidP="00685F6B">
      <w:r>
        <w:rPr>
          <w:rFonts w:hint="eastAsia"/>
        </w:rPr>
        <w:t>表</w:t>
      </w:r>
      <w:r w:rsidR="00615432">
        <w:rPr>
          <w:rFonts w:hint="eastAsia"/>
        </w:rPr>
        <w:t>3</w:t>
      </w:r>
      <w:r w:rsidR="00033657">
        <w:rPr>
          <w:rFonts w:hint="eastAsia"/>
        </w:rPr>
        <w:t xml:space="preserve">　民営化事業者・公営事業者単位当たり営業費用（売上原価を除く）</w:t>
      </w:r>
    </w:p>
    <w:p w14:paraId="4DCDDBDD" w14:textId="77777777" w:rsidR="00685F6B" w:rsidRDefault="00685F6B" w:rsidP="00685F6B">
      <w:r w:rsidRPr="0002666A">
        <w:rPr>
          <w:rFonts w:hint="eastAsia"/>
          <w:noProof/>
        </w:rPr>
        <w:drawing>
          <wp:inline distT="0" distB="0" distL="0" distR="0" wp14:anchorId="07A873D8" wp14:editId="6470D2F3">
            <wp:extent cx="5400040" cy="156596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565965"/>
                    </a:xfrm>
                    <a:prstGeom prst="rect">
                      <a:avLst/>
                    </a:prstGeom>
                    <a:noFill/>
                    <a:ln>
                      <a:noFill/>
                    </a:ln>
                  </pic:spPr>
                </pic:pic>
              </a:graphicData>
            </a:graphic>
          </wp:inline>
        </w:drawing>
      </w:r>
    </w:p>
    <w:p w14:paraId="6D78865F" w14:textId="77777777" w:rsidR="00685F6B" w:rsidRPr="00685F6B" w:rsidRDefault="00685F6B" w:rsidP="00A60AB7"/>
    <w:p w14:paraId="43C7E997" w14:textId="77777777" w:rsidR="00685F6B" w:rsidRDefault="00685F6B" w:rsidP="00A60AB7">
      <w:r>
        <w:rPr>
          <w:rFonts w:hint="eastAsia"/>
        </w:rPr>
        <w:t xml:space="preserve">2-4-4. </w:t>
      </w:r>
      <w:r>
        <w:rPr>
          <w:rFonts w:hint="eastAsia"/>
        </w:rPr>
        <w:t>単位当たり経常利益</w:t>
      </w:r>
    </w:p>
    <w:p w14:paraId="67592217" w14:textId="14918174" w:rsidR="00685F6B" w:rsidRDefault="0074374E" w:rsidP="00EF78E3">
      <w:pPr>
        <w:ind w:firstLineChars="100" w:firstLine="210"/>
      </w:pPr>
      <w:r>
        <w:rPr>
          <w:rFonts w:hint="eastAsia"/>
        </w:rPr>
        <w:t>次頁の図及び</w:t>
      </w:r>
      <w:r w:rsidR="00685F6B">
        <w:rPr>
          <w:rFonts w:hint="eastAsia"/>
        </w:rPr>
        <w:t>表からは</w:t>
      </w:r>
      <w:r>
        <w:rPr>
          <w:rFonts w:hint="eastAsia"/>
        </w:rPr>
        <w:t>、</w:t>
      </w:r>
      <w:r w:rsidR="00685F6B">
        <w:rPr>
          <w:rFonts w:hint="eastAsia"/>
        </w:rPr>
        <w:t>民営化事業者と公営事業者単位当たり経常利益の変化に関しては、差異が存在するようには見られない</w:t>
      </w:r>
    </w:p>
    <w:p w14:paraId="617DBD32" w14:textId="77777777" w:rsidR="00685F6B" w:rsidRDefault="00685F6B" w:rsidP="00685F6B">
      <w:pPr>
        <w:rPr>
          <w:rFonts w:hint="eastAsia"/>
        </w:rPr>
      </w:pPr>
    </w:p>
    <w:p w14:paraId="61BB5E2A" w14:textId="77777777" w:rsidR="00EF78E3" w:rsidRDefault="00EF78E3" w:rsidP="00685F6B">
      <w:pPr>
        <w:rPr>
          <w:rFonts w:hint="eastAsia"/>
        </w:rPr>
      </w:pPr>
    </w:p>
    <w:p w14:paraId="6C18659E" w14:textId="77777777" w:rsidR="00EF78E3" w:rsidRDefault="00EF78E3" w:rsidP="00685F6B">
      <w:pPr>
        <w:rPr>
          <w:rFonts w:hint="eastAsia"/>
        </w:rPr>
      </w:pPr>
    </w:p>
    <w:p w14:paraId="7EFF61F8" w14:textId="77777777" w:rsidR="00EF78E3" w:rsidRDefault="00EF78E3" w:rsidP="00685F6B">
      <w:pPr>
        <w:rPr>
          <w:rFonts w:hint="eastAsia"/>
        </w:rPr>
      </w:pPr>
    </w:p>
    <w:p w14:paraId="265E65CD" w14:textId="77777777" w:rsidR="00EF78E3" w:rsidRDefault="00EF78E3" w:rsidP="00685F6B">
      <w:pPr>
        <w:rPr>
          <w:rFonts w:hint="eastAsia"/>
        </w:rPr>
      </w:pPr>
    </w:p>
    <w:p w14:paraId="0E7422F2" w14:textId="77777777" w:rsidR="00EF78E3" w:rsidRDefault="00EF78E3" w:rsidP="00685F6B">
      <w:pPr>
        <w:rPr>
          <w:rFonts w:hint="eastAsia"/>
        </w:rPr>
      </w:pPr>
    </w:p>
    <w:p w14:paraId="186D5D9B" w14:textId="77777777" w:rsidR="00EF78E3" w:rsidRDefault="00EF78E3" w:rsidP="00685F6B"/>
    <w:p w14:paraId="2FD01622" w14:textId="77777777" w:rsidR="00685F6B" w:rsidRDefault="00685F6B" w:rsidP="00685F6B">
      <w:r>
        <w:rPr>
          <w:rFonts w:hint="eastAsia"/>
        </w:rPr>
        <w:lastRenderedPageBreak/>
        <w:t>図</w:t>
      </w:r>
      <w:r w:rsidR="00615432">
        <w:rPr>
          <w:rFonts w:hint="eastAsia"/>
        </w:rPr>
        <w:t>6</w:t>
      </w:r>
      <w:r w:rsidR="00033657">
        <w:rPr>
          <w:rFonts w:hint="eastAsia"/>
        </w:rPr>
        <w:t xml:space="preserve">　民営化事業者・公営事業者単位当たり経常利益変化</w:t>
      </w:r>
    </w:p>
    <w:p w14:paraId="2F32B8D4" w14:textId="36ACC5EC" w:rsidR="00685F6B" w:rsidRDefault="00685F6B" w:rsidP="00685F6B">
      <w:r>
        <w:rPr>
          <w:noProof/>
        </w:rPr>
        <w:drawing>
          <wp:inline distT="0" distB="0" distL="0" distR="0" wp14:anchorId="575997EE" wp14:editId="232675A1">
            <wp:extent cx="5355590" cy="20764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5590" cy="2076450"/>
                    </a:xfrm>
                    <a:prstGeom prst="rect">
                      <a:avLst/>
                    </a:prstGeom>
                    <a:noFill/>
                    <a:ln>
                      <a:noFill/>
                    </a:ln>
                  </pic:spPr>
                </pic:pic>
              </a:graphicData>
            </a:graphic>
          </wp:inline>
        </w:drawing>
      </w:r>
    </w:p>
    <w:p w14:paraId="47E961CD" w14:textId="77777777" w:rsidR="00685F6B" w:rsidRDefault="00685F6B" w:rsidP="00685F6B">
      <w:r>
        <w:rPr>
          <w:rFonts w:hint="eastAsia"/>
        </w:rPr>
        <w:t>表</w:t>
      </w:r>
      <w:r w:rsidR="00615432">
        <w:rPr>
          <w:rFonts w:hint="eastAsia"/>
        </w:rPr>
        <w:t>4</w:t>
      </w:r>
      <w:r w:rsidR="00033657">
        <w:rPr>
          <w:rFonts w:hint="eastAsia"/>
        </w:rPr>
        <w:t xml:space="preserve">　民営化事業者・公営事業者単位当たり経常利益</w:t>
      </w:r>
    </w:p>
    <w:p w14:paraId="5F59C592" w14:textId="77777777" w:rsidR="00685F6B" w:rsidRDefault="00685F6B" w:rsidP="00685F6B">
      <w:r w:rsidRPr="007653AA">
        <w:rPr>
          <w:noProof/>
        </w:rPr>
        <w:drawing>
          <wp:inline distT="0" distB="0" distL="0" distR="0" wp14:anchorId="157B781C" wp14:editId="3CBB7CC0">
            <wp:extent cx="5400040" cy="156596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565965"/>
                    </a:xfrm>
                    <a:prstGeom prst="rect">
                      <a:avLst/>
                    </a:prstGeom>
                    <a:noFill/>
                    <a:ln>
                      <a:noFill/>
                    </a:ln>
                  </pic:spPr>
                </pic:pic>
              </a:graphicData>
            </a:graphic>
          </wp:inline>
        </w:drawing>
      </w:r>
    </w:p>
    <w:p w14:paraId="11FD528D" w14:textId="77777777" w:rsidR="00685F6B" w:rsidRDefault="00685F6B" w:rsidP="00A60AB7"/>
    <w:p w14:paraId="3E549CE7" w14:textId="77777777" w:rsidR="00A60AB7" w:rsidRDefault="00271FE9" w:rsidP="00A60AB7">
      <w:r>
        <w:rPr>
          <w:rFonts w:hint="eastAsia"/>
        </w:rPr>
        <w:t>2-5</w:t>
      </w:r>
      <w:r w:rsidR="00D70A27">
        <w:rPr>
          <w:rFonts w:hint="eastAsia"/>
        </w:rPr>
        <w:t xml:space="preserve">. </w:t>
      </w:r>
      <w:r w:rsidR="00A60AB7">
        <w:rPr>
          <w:rFonts w:hint="eastAsia"/>
        </w:rPr>
        <w:t>仮説</w:t>
      </w:r>
    </w:p>
    <w:p w14:paraId="4F140DCD" w14:textId="77777777" w:rsidR="006E6F16" w:rsidRDefault="00A60AB7" w:rsidP="006E6F16">
      <w:pPr>
        <w:rPr>
          <w:rFonts w:hint="eastAsia"/>
        </w:rPr>
      </w:pPr>
      <w:r>
        <w:rPr>
          <w:rFonts w:hint="eastAsia"/>
        </w:rPr>
        <w:t xml:space="preserve">　</w:t>
      </w:r>
      <w:r w:rsidR="006E6F16">
        <w:rPr>
          <w:rFonts w:hint="eastAsia"/>
        </w:rPr>
        <w:t>以上の予察より、以下の仮説が導かれる。</w:t>
      </w:r>
    </w:p>
    <w:p w14:paraId="4F4CEC86" w14:textId="77777777" w:rsidR="00A7485D" w:rsidRDefault="00A7485D" w:rsidP="006E6F16"/>
    <w:p w14:paraId="4F62610A" w14:textId="303015B8" w:rsidR="006E6F16" w:rsidRPr="006E6F16" w:rsidRDefault="00A7485D" w:rsidP="00A60AB7">
      <w:r>
        <w:rPr>
          <w:rFonts w:hint="eastAsia"/>
        </w:rPr>
        <w:t>「</w:t>
      </w:r>
      <w:r w:rsidR="007011BD">
        <w:rPr>
          <w:rFonts w:hint="eastAsia"/>
        </w:rPr>
        <w:t>仮説：都市ガス事業に関して</w:t>
      </w:r>
      <w:r w:rsidR="006E6F16">
        <w:rPr>
          <w:rFonts w:hint="eastAsia"/>
        </w:rPr>
        <w:t>、民営化は単位当たり費用の削減効果をもたらす可能性は存在する。一方で、経常利益等の経営改善に関しては効果をもたらす可能性は低い。</w:t>
      </w:r>
      <w:r>
        <w:rPr>
          <w:rFonts w:hint="eastAsia"/>
        </w:rPr>
        <w:t>」</w:t>
      </w:r>
    </w:p>
    <w:p w14:paraId="0C31A83C" w14:textId="77777777" w:rsidR="002B1EE1" w:rsidRDefault="002B1EE1" w:rsidP="002B1EE1"/>
    <w:p w14:paraId="1014F406" w14:textId="2E3D57C0" w:rsidR="00FB6411" w:rsidRDefault="00271FE9" w:rsidP="002B1EE1">
      <w:r>
        <w:rPr>
          <w:rFonts w:hint="eastAsia"/>
        </w:rPr>
        <w:t>2-6</w:t>
      </w:r>
      <w:r w:rsidR="00D70A27">
        <w:rPr>
          <w:rFonts w:hint="eastAsia"/>
        </w:rPr>
        <w:t xml:space="preserve">. </w:t>
      </w:r>
      <w:r w:rsidR="00D70A27">
        <w:rPr>
          <w:rFonts w:hint="eastAsia"/>
        </w:rPr>
        <w:t>分析</w:t>
      </w:r>
    </w:p>
    <w:p w14:paraId="0EE238F0" w14:textId="77777777" w:rsidR="00015714" w:rsidRDefault="00271FE9" w:rsidP="00FB6411">
      <w:r>
        <w:rPr>
          <w:rFonts w:hint="eastAsia"/>
        </w:rPr>
        <w:t>2-6</w:t>
      </w:r>
      <w:r w:rsidR="00D70A27">
        <w:rPr>
          <w:rFonts w:hint="eastAsia"/>
        </w:rPr>
        <w:t xml:space="preserve">-1. </w:t>
      </w:r>
      <w:r w:rsidR="002B1EE1">
        <w:rPr>
          <w:rFonts w:hint="eastAsia"/>
        </w:rPr>
        <w:t>費用に対する民営化の影響の分析</w:t>
      </w:r>
    </w:p>
    <w:p w14:paraId="17AF0FDA" w14:textId="3F1C98FB" w:rsidR="002B1EE1" w:rsidRDefault="005E4D38" w:rsidP="005D19FD">
      <w:pPr>
        <w:ind w:firstLineChars="100" w:firstLine="210"/>
      </w:pPr>
      <w:r>
        <w:rPr>
          <w:rFonts w:hint="eastAsia"/>
        </w:rPr>
        <w:t>ここからは仮説を検証するために、計量的な分析を行う。まずは</w:t>
      </w:r>
      <w:r w:rsidR="002B1EE1">
        <w:rPr>
          <w:rFonts w:hint="eastAsia"/>
        </w:rPr>
        <w:t>公営ガス企業の費用に対して</w:t>
      </w:r>
      <w:r>
        <w:rPr>
          <w:rFonts w:hint="eastAsia"/>
        </w:rPr>
        <w:t>、</w:t>
      </w:r>
      <w:r w:rsidR="002B1EE1">
        <w:rPr>
          <w:rFonts w:hint="eastAsia"/>
        </w:rPr>
        <w:t>民営化が及ぼした影響の有無を</w:t>
      </w:r>
      <w:r w:rsidR="008D5F1F">
        <w:rPr>
          <w:rFonts w:hint="eastAsia"/>
        </w:rPr>
        <w:t>パネルデータを用いて</w:t>
      </w:r>
      <w:r w:rsidR="002B1EE1">
        <w:rPr>
          <w:rFonts w:hint="eastAsia"/>
        </w:rPr>
        <w:t>推定する。</w:t>
      </w:r>
      <w:r w:rsidR="008D5F1F">
        <w:rPr>
          <w:rFonts w:hint="eastAsia"/>
        </w:rPr>
        <w:t>今回用いたデータは</w:t>
      </w:r>
      <w:r w:rsidR="005D19FD">
        <w:rPr>
          <w:rFonts w:hint="eastAsia"/>
        </w:rPr>
        <w:t>平成</w:t>
      </w:r>
      <w:r w:rsidR="005D19FD">
        <w:rPr>
          <w:rFonts w:hint="eastAsia"/>
        </w:rPr>
        <w:t>10</w:t>
      </w:r>
      <w:r w:rsidR="005D19FD">
        <w:rPr>
          <w:rFonts w:hint="eastAsia"/>
        </w:rPr>
        <w:t>年と平成</w:t>
      </w:r>
      <w:r w:rsidR="005D19FD">
        <w:rPr>
          <w:rFonts w:hint="eastAsia"/>
        </w:rPr>
        <w:t>24</w:t>
      </w:r>
      <w:r w:rsidR="005D19FD">
        <w:rPr>
          <w:rFonts w:hint="eastAsia"/>
        </w:rPr>
        <w:t>年の</w:t>
      </w:r>
      <w:r w:rsidR="005D19FD">
        <w:rPr>
          <w:rFonts w:hint="eastAsia"/>
        </w:rPr>
        <w:t>2</w:t>
      </w:r>
      <w:r w:rsidR="005D19FD">
        <w:rPr>
          <w:rFonts w:hint="eastAsia"/>
        </w:rPr>
        <w:t>時点であり、この間に民営化された</w:t>
      </w:r>
      <w:r w:rsidR="005D19FD">
        <w:rPr>
          <w:rFonts w:hint="eastAsia"/>
        </w:rPr>
        <w:t>10</w:t>
      </w:r>
      <w:r w:rsidR="005D19FD">
        <w:rPr>
          <w:rFonts w:hint="eastAsia"/>
        </w:rPr>
        <w:t>社を措置群とする。対照群としては非民営化企業</w:t>
      </w:r>
      <w:r w:rsidR="005D19FD">
        <w:rPr>
          <w:rFonts w:hint="eastAsia"/>
        </w:rPr>
        <w:t>11</w:t>
      </w:r>
      <w:r w:rsidR="005D19FD">
        <w:rPr>
          <w:rFonts w:hint="eastAsia"/>
        </w:rPr>
        <w:t>社を選んだ。これら</w:t>
      </w:r>
      <w:r w:rsidR="005D19FD">
        <w:rPr>
          <w:rFonts w:hint="eastAsia"/>
        </w:rPr>
        <w:t>21</w:t>
      </w:r>
      <w:r w:rsidR="002B1EE1">
        <w:rPr>
          <w:rFonts w:hint="eastAsia"/>
        </w:rPr>
        <w:t>社の一覧については上述の通りである。今、真のモデルが以下のように表せるとする。</w:t>
      </w:r>
    </w:p>
    <w:p w14:paraId="31FFEEAB" w14:textId="77777777" w:rsidR="00271FE9" w:rsidRDefault="00271FE9" w:rsidP="002B1EE1">
      <w:pPr>
        <w:ind w:firstLineChars="100" w:firstLine="210"/>
      </w:pPr>
    </w:p>
    <w:p w14:paraId="4273F31B" w14:textId="77777777" w:rsidR="00C60ED9" w:rsidRDefault="00574EF3" w:rsidP="00C60ED9">
      <w:pPr>
        <w:jc w:val="right"/>
      </w:pP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dP</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0</m:t>
            </m:r>
          </m:sub>
        </m:sSub>
        <m:r>
          <m:rPr>
            <m:sty m:val="p"/>
          </m:rPr>
          <w:rPr>
            <w:rFonts w:ascii="Cambria Math" w:hAnsi="Cambria Math"/>
          </w:rPr>
          <m:t>×d24+</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×d</m:t>
        </m:r>
        <m:sSub>
          <m:sSubPr>
            <m:ctrlPr>
              <w:rPr>
                <w:rFonts w:ascii="Cambria Math" w:hAnsi="Cambria Math"/>
              </w:rPr>
            </m:ctrlPr>
          </m:sSubPr>
          <m:e>
            <m:r>
              <m:rPr>
                <m:sty m:val="p"/>
              </m:rPr>
              <w:rPr>
                <w:rFonts w:ascii="Cambria Math" w:hAnsi="Cambria Math"/>
              </w:rPr>
              <m:t>24</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dP</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dJ</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it</m:t>
            </m:r>
          </m:sub>
        </m:sSub>
        <m:r>
          <w:rPr>
            <w:rFonts w:ascii="Cambria Math" w:hAnsi="Cambria Math" w:hint="eastAsia"/>
          </w:rPr>
          <m:t xml:space="preserve">　</m:t>
        </m:r>
      </m:oMath>
      <w:r w:rsidR="00C60ED9">
        <w:rPr>
          <w:rFonts w:hint="eastAsia"/>
        </w:rPr>
        <w:t>(i = 1,2, ..,21, t = 0, 1)</w:t>
      </w:r>
    </w:p>
    <w:p w14:paraId="75423C9B" w14:textId="77777777" w:rsidR="00271FE9" w:rsidRPr="00C60ED9" w:rsidRDefault="00271FE9" w:rsidP="002B1EE1"/>
    <w:p w14:paraId="091BF26F" w14:textId="77777777" w:rsidR="002B1EE1" w:rsidRPr="000D2A7B" w:rsidRDefault="00574EF3" w:rsidP="002B1EE1">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oMath>
      <w:r w:rsidR="002B1EE1">
        <w:rPr>
          <w:rFonts w:hint="eastAsia"/>
        </w:rPr>
        <w:t>：ガス販売量１単位あたり費用（売上原価除く）</w:t>
      </w:r>
    </w:p>
    <w:p w14:paraId="10304400" w14:textId="77777777" w:rsidR="002B1EE1" w:rsidRDefault="00574EF3" w:rsidP="002B1EE1">
      <m:oMath>
        <m:sSub>
          <m:sSubPr>
            <m:ctrlPr>
              <w:rPr>
                <w:rFonts w:ascii="Cambria Math" w:hAnsi="Cambria Math"/>
              </w:rPr>
            </m:ctrlPr>
          </m:sSubPr>
          <m:e>
            <m:r>
              <m:rPr>
                <m:sty m:val="p"/>
              </m:rPr>
              <w:rPr>
                <w:rFonts w:ascii="Cambria Math" w:hAnsi="Cambria Math"/>
              </w:rPr>
              <m:t>dP</m:t>
            </m:r>
          </m:e>
          <m:sub>
            <m:r>
              <m:rPr>
                <m:sty m:val="p"/>
              </m:rPr>
              <w:rPr>
                <w:rFonts w:ascii="Cambria Math" w:hAnsi="Cambria Math"/>
              </w:rPr>
              <m:t>i</m:t>
            </m:r>
          </m:sub>
        </m:sSub>
      </m:oMath>
      <w:r w:rsidR="002B1EE1">
        <w:rPr>
          <w:rFonts w:hint="eastAsia"/>
        </w:rPr>
        <w:t>：民営化ダミー</w:t>
      </w:r>
    </w:p>
    <w:p w14:paraId="26AD65E7" w14:textId="59F2B6FE" w:rsidR="002B1EE1" w:rsidRDefault="002B1EE1" w:rsidP="002B1EE1">
      <m:oMath>
        <m:r>
          <m:rPr>
            <m:sty m:val="p"/>
          </m:rPr>
          <w:rPr>
            <w:rFonts w:ascii="Cambria Math" w:hAnsi="Cambria Math"/>
          </w:rPr>
          <m:t>d</m:t>
        </m:r>
        <m:sSub>
          <m:sSubPr>
            <m:ctrlPr>
              <w:rPr>
                <w:rFonts w:ascii="Cambria Math" w:hAnsi="Cambria Math"/>
              </w:rPr>
            </m:ctrlPr>
          </m:sSubPr>
          <m:e>
            <m:r>
              <m:rPr>
                <m:sty m:val="p"/>
              </m:rPr>
              <w:rPr>
                <w:rFonts w:ascii="Cambria Math" w:hAnsi="Cambria Math"/>
              </w:rPr>
              <m:t>24</m:t>
            </m:r>
          </m:e>
          <m:sub>
            <m:r>
              <m:rPr>
                <m:sty m:val="p"/>
              </m:rPr>
              <w:rPr>
                <w:rFonts w:ascii="Cambria Math" w:hAnsi="Cambria Math"/>
              </w:rPr>
              <m:t>t</m:t>
            </m:r>
          </m:sub>
        </m:sSub>
      </m:oMath>
      <w:r w:rsidR="007F7131">
        <w:rPr>
          <w:rFonts w:hint="eastAsia"/>
        </w:rPr>
        <w:t>：時点ダミー（平成</w:t>
      </w:r>
      <w:r w:rsidR="007F7131">
        <w:rPr>
          <w:rFonts w:hint="eastAsia"/>
        </w:rPr>
        <w:t>24</w:t>
      </w:r>
      <w:r w:rsidR="007F7131">
        <w:rPr>
          <w:rFonts w:hint="eastAsia"/>
        </w:rPr>
        <w:t>年であれば</w:t>
      </w:r>
      <w:r w:rsidR="007F7131">
        <w:rPr>
          <w:rFonts w:hint="eastAsia"/>
        </w:rPr>
        <w:t>1</w:t>
      </w:r>
      <w:r>
        <w:rPr>
          <w:rFonts w:hint="eastAsia"/>
        </w:rPr>
        <w:t>）</w:t>
      </w:r>
    </w:p>
    <w:p w14:paraId="652B27B5" w14:textId="77777777" w:rsidR="002B1EE1" w:rsidRDefault="00574EF3" w:rsidP="002B1EE1">
      <m:oMath>
        <m:sSub>
          <m:sSubPr>
            <m:ctrlPr>
              <w:rPr>
                <w:rFonts w:ascii="Cambria Math" w:hAnsi="Cambria Math"/>
              </w:rPr>
            </m:ctrlPr>
          </m:sSubPr>
          <m:e>
            <m:r>
              <m:rPr>
                <m:sty m:val="p"/>
              </m:rPr>
              <w:rPr>
                <w:rFonts w:ascii="Cambria Math" w:hAnsi="Cambria Math"/>
              </w:rPr>
              <m:t>dJ</m:t>
            </m:r>
          </m:e>
          <m:sub>
            <m:r>
              <m:rPr>
                <m:sty m:val="p"/>
              </m:rPr>
              <w:rPr>
                <w:rFonts w:ascii="Cambria Math" w:hAnsi="Cambria Math"/>
              </w:rPr>
              <m:t>it</m:t>
            </m:r>
          </m:sub>
        </m:sSub>
      </m:oMath>
      <w:r w:rsidR="002B1EE1">
        <w:rPr>
          <w:rFonts w:hint="eastAsia"/>
        </w:rPr>
        <w:t>：熱量ダミー</w:t>
      </w:r>
    </w:p>
    <w:p w14:paraId="439F2DF6" w14:textId="77777777" w:rsidR="002B1EE1" w:rsidRDefault="00574EF3" w:rsidP="002B1EE1">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oMath>
      <w:r w:rsidR="002B1EE1">
        <w:rPr>
          <w:rFonts w:hint="eastAsia"/>
        </w:rPr>
        <w:t>：固定効果</w:t>
      </w:r>
    </w:p>
    <w:p w14:paraId="4CB2FCB9" w14:textId="77777777" w:rsidR="00EB3B64" w:rsidRDefault="00EB3B64" w:rsidP="002B1EE1"/>
    <w:p w14:paraId="0996348E" w14:textId="7AB55D9B" w:rsidR="002B1EE1" w:rsidRDefault="002B1EE1" w:rsidP="002B1EE1">
      <w:pPr>
        <w:ind w:firstLineChars="100" w:firstLine="210"/>
      </w:pPr>
      <w:r>
        <w:rPr>
          <w:rFonts w:hint="eastAsia"/>
        </w:rPr>
        <w:t>y</w:t>
      </w:r>
      <w:r>
        <w:rPr>
          <w:rFonts w:hint="eastAsia"/>
        </w:rPr>
        <w:t>はガス事業年報における費用（計）から売上原価を除いたものであり、営業外費用を含まない。売上原価は輸入燃料価格といった外的な要因によって決定されるところが大きく、民営化の成果を反映しないと考えたからである。また推計期間内にガスの熱量変更をおこなった企業がみられたため、熱量ダミーによってこの影響を除く。この変数は、現在の都市ガスで一般的である</w:t>
      </w:r>
      <w:r>
        <w:rPr>
          <w:rFonts w:hint="eastAsia"/>
        </w:rPr>
        <w:t>13A</w:t>
      </w:r>
      <w:r>
        <w:rPr>
          <w:rFonts w:hint="eastAsia"/>
        </w:rPr>
        <w:t>または</w:t>
      </w:r>
      <w:r>
        <w:rPr>
          <w:rFonts w:hint="eastAsia"/>
        </w:rPr>
        <w:t>12A</w:t>
      </w:r>
      <w:r>
        <w:rPr>
          <w:rFonts w:hint="eastAsia"/>
        </w:rPr>
        <w:t>の高熱量のガスを供給している場合には１、それより低い熱量のガス</w:t>
      </w:r>
      <w:r w:rsidR="00480755">
        <w:rPr>
          <w:rFonts w:hint="eastAsia"/>
        </w:rPr>
        <w:t>を供給している場合には</w:t>
      </w:r>
      <w:r w:rsidR="00480755">
        <w:rPr>
          <w:rFonts w:hint="eastAsia"/>
        </w:rPr>
        <w:t>0</w:t>
      </w:r>
      <w:r>
        <w:rPr>
          <w:rFonts w:hint="eastAsia"/>
        </w:rPr>
        <w:t>をとる。</w:t>
      </w:r>
    </w:p>
    <w:p w14:paraId="626ADBEA" w14:textId="77777777" w:rsidR="008D5F1F" w:rsidRPr="00B648E4" w:rsidRDefault="002B1EE1" w:rsidP="008D5F1F">
      <w:pPr>
        <w:ind w:firstLineChars="100" w:firstLine="210"/>
      </w:pPr>
      <w:r>
        <w:rPr>
          <w:rFonts w:hint="eastAsia"/>
        </w:rPr>
        <w:t>我々が検証したいのは、民営化企業が非民営化企業に比べて、民営化前後において、ガス</w:t>
      </w:r>
      <w:r w:rsidRPr="00B648E4">
        <w:t>販売量１単位あたり費用の低下に成功しているか否かである。すなわち、民営化ダミーと時点ダミーの交差項の係数</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oMath>
      <w:r w:rsidR="005D19FD" w:rsidRPr="00B648E4">
        <w:t>が</w:t>
      </w:r>
      <w:r w:rsidR="005D19FD" w:rsidRPr="00B648E4">
        <w:t>0</w:t>
      </w:r>
      <w:r w:rsidRPr="00B648E4">
        <w:t>より有意に小さいか否かである。</w:t>
      </w:r>
      <w:r w:rsidR="005D19FD" w:rsidRPr="00B648E4">
        <w:t>ゆえに、今回は</w:t>
      </w:r>
      <w:r w:rsidR="005D19FD" w:rsidRPr="00B648E4">
        <w:t>2</w:t>
      </w:r>
      <w:r w:rsidR="00160EC4" w:rsidRPr="00B648E4">
        <w:t>時点間のデータの差分を取って回帰する</w:t>
      </w:r>
      <w:r w:rsidR="008D5F1F" w:rsidRPr="00B648E4">
        <w:t>Difference in difference</w:t>
      </w:r>
      <w:r w:rsidR="008D5F1F" w:rsidRPr="00B648E4">
        <w:t>の手法を用いたい。</w:t>
      </w:r>
      <w:r w:rsidR="00160EC4" w:rsidRPr="00B648E4">
        <w:t>そ</w:t>
      </w:r>
      <w:r w:rsidR="008D5F1F" w:rsidRPr="00B648E4">
        <w:t>こでハウスマン検定を行</w:t>
      </w:r>
      <w:r w:rsidR="00160EC4" w:rsidRPr="00B648E4">
        <w:t>い、固定効果モデルと変量効果モデルのどちらを採択すべきか、検証した。その結果、</w:t>
      </w:r>
      <w:r w:rsidR="00160EC4" w:rsidRPr="00B648E4">
        <w:rPr>
          <w:rFonts w:cs="Segoe UI Symbol"/>
        </w:rPr>
        <w:t>x</w:t>
      </w:r>
      <w:r w:rsidR="00160EC4" w:rsidRPr="00B648E4">
        <w:rPr>
          <w:rFonts w:cs="Segoe UI Symbol"/>
          <w:vertAlign w:val="superscript"/>
        </w:rPr>
        <w:t>2</w:t>
      </w:r>
      <w:r w:rsidR="00160EC4" w:rsidRPr="00B648E4">
        <w:rPr>
          <w:rFonts w:cs="Segoe UI Symbol"/>
        </w:rPr>
        <w:t>(</w:t>
      </w:r>
      <w:proofErr w:type="spellStart"/>
      <w:r w:rsidR="00160EC4" w:rsidRPr="00B648E4">
        <w:rPr>
          <w:rFonts w:cs="Segoe UI Symbol"/>
        </w:rPr>
        <w:t>d.f.</w:t>
      </w:r>
      <w:proofErr w:type="spellEnd"/>
      <w:r w:rsidR="00160EC4" w:rsidRPr="00B648E4">
        <w:rPr>
          <w:rFonts w:cs="Segoe UI Symbol"/>
        </w:rPr>
        <w:t>=3)=63.01; p=0.000</w:t>
      </w:r>
      <w:r w:rsidR="00160EC4" w:rsidRPr="00B648E4">
        <w:rPr>
          <w:rFonts w:cs="Segoe UI Symbol"/>
        </w:rPr>
        <w:t>で</w:t>
      </w:r>
      <w:r w:rsidR="00AE3A44" w:rsidRPr="00B648E4">
        <w:rPr>
          <w:rFonts w:cs="Segoe UI Symbol"/>
        </w:rPr>
        <w:t>あり</w:t>
      </w:r>
      <w:r w:rsidR="00160EC4" w:rsidRPr="00B648E4">
        <w:rPr>
          <w:rFonts w:cs="Segoe UI Symbol"/>
        </w:rPr>
        <w:t>、</w:t>
      </w:r>
      <w:r w:rsidR="00AE3A44" w:rsidRPr="00B648E4">
        <w:rPr>
          <w:rFonts w:cs="Segoe UI Symbol"/>
        </w:rPr>
        <w:t>有意に</w:t>
      </w:r>
      <w:r w:rsidR="00160EC4" w:rsidRPr="00B648E4">
        <w:rPr>
          <w:rFonts w:cs="Segoe UI Symbol"/>
        </w:rPr>
        <w:t>固定効果モデルを採用</w:t>
      </w:r>
      <w:r w:rsidR="00AE3A44" w:rsidRPr="00B648E4">
        <w:rPr>
          <w:rFonts w:cs="Segoe UI Symbol"/>
        </w:rPr>
        <w:t>すべきと分かった</w:t>
      </w:r>
      <w:r w:rsidR="00160EC4" w:rsidRPr="00B648E4">
        <w:rPr>
          <w:rFonts w:cs="Segoe UI Symbol"/>
        </w:rPr>
        <w:t>。</w:t>
      </w:r>
      <w:r w:rsidR="00AE3A44" w:rsidRPr="00B648E4">
        <w:rPr>
          <w:rFonts w:cs="Segoe UI Symbol"/>
        </w:rPr>
        <w:t>そして</w:t>
      </w:r>
      <w:r w:rsidR="00AE3A44" w:rsidRPr="00B648E4">
        <w:rPr>
          <w:rFonts w:cs="Segoe UI Symbol"/>
        </w:rPr>
        <w:t>2</w:t>
      </w:r>
      <w:r w:rsidR="00AE3A44" w:rsidRPr="00B648E4">
        <w:rPr>
          <w:rFonts w:cs="Segoe UI Symbol"/>
        </w:rPr>
        <w:t>時点間で固定効果が変わらないと仮定し、</w:t>
      </w:r>
      <w:r w:rsidR="00AE3A44" w:rsidRPr="00B648E4">
        <w:rPr>
          <w:rFonts w:cs="Segoe UI Symbol"/>
        </w:rPr>
        <w:t>DID</w:t>
      </w:r>
      <w:r w:rsidR="00AE3A44" w:rsidRPr="00B648E4">
        <w:rPr>
          <w:rFonts w:cs="Segoe UI Symbol"/>
        </w:rPr>
        <w:t>法を採用した。</w:t>
      </w:r>
    </w:p>
    <w:p w14:paraId="38837FEB" w14:textId="77777777" w:rsidR="002B1EE1" w:rsidRPr="00B648E4" w:rsidRDefault="002B1EE1" w:rsidP="00160EC4">
      <w:pPr>
        <w:ind w:firstLineChars="100" w:firstLine="210"/>
      </w:pPr>
      <w:r w:rsidRPr="00B648E4">
        <w:t>ここで、時点</w:t>
      </w:r>
      <w:r w:rsidRPr="00B648E4">
        <w:t>t</w:t>
      </w:r>
      <w:r w:rsidRPr="00B648E4">
        <w:t>について差分をとれば、</w:t>
      </w:r>
    </w:p>
    <w:p w14:paraId="27CF2108" w14:textId="77777777" w:rsidR="00CD2245" w:rsidRPr="00B648E4" w:rsidRDefault="00CD2245" w:rsidP="002B1EE1">
      <w:pPr>
        <w:ind w:firstLineChars="100" w:firstLine="210"/>
      </w:pPr>
    </w:p>
    <w:p w14:paraId="5032EE65" w14:textId="77777777" w:rsidR="00CD2245" w:rsidRDefault="002B1EE1" w:rsidP="00CD2245">
      <w:pPr>
        <w:jc w:val="center"/>
      </w:pPr>
      <m:oMath>
        <m:r>
          <m:rPr>
            <m:sty m:val="p"/>
          </m:rPr>
          <w:rPr>
            <w:rFonts w:ascii="Cambria Math" w:hAnsi="Cambria Math"/>
          </w:rPr>
          <m:t>Δ</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×dP+</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dJ</m:t>
            </m:r>
          </m:e>
          <m:sub>
            <m:r>
              <m:rPr>
                <m:sty m:val="p"/>
              </m:rPr>
              <w:rPr>
                <w:rFonts w:ascii="Cambria Math" w:hAnsi="Cambria Math"/>
              </w:rPr>
              <m:t>i</m:t>
            </m:r>
          </m:sub>
        </m:sSub>
        <m:r>
          <m:rPr>
            <m:sty m:val="p"/>
          </m:rPr>
          <w:rPr>
            <w:rFonts w:ascii="Cambria Math" w:hAnsi="Cambria Math"/>
          </w:rPr>
          <m:t>+Δ</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hint="eastAsia"/>
          </w:rPr>
          <m:t xml:space="preserve">　</m:t>
        </m:r>
      </m:oMath>
      <w:r w:rsidR="00CD2245">
        <w:rPr>
          <w:rFonts w:hint="eastAsia"/>
        </w:rPr>
        <w:t>(i = 1,2, .., 21, t = 0, 1)</w:t>
      </w:r>
    </w:p>
    <w:p w14:paraId="4CF08543" w14:textId="77777777" w:rsidR="00EB3B64" w:rsidRDefault="00EB3B64" w:rsidP="00CD2245"/>
    <w:p w14:paraId="42353CBF" w14:textId="1F2007F3" w:rsidR="002B1EE1" w:rsidRPr="000D2A7B" w:rsidRDefault="002B1EE1" w:rsidP="00DB65F0">
      <w:pPr>
        <w:ind w:firstLineChars="100" w:firstLine="210"/>
      </w:pPr>
      <w:r>
        <w:rPr>
          <w:rFonts w:hint="eastAsia"/>
        </w:rPr>
        <w:t>したがって、この式について回帰分析をおこなえばよい。ただし</w:t>
      </w:r>
      <m:oMath>
        <m:sSub>
          <m:sSubPr>
            <m:ctrlPr>
              <w:rPr>
                <w:rFonts w:ascii="Cambria Math" w:hAnsi="Cambria Math"/>
              </w:rPr>
            </m:ctrlPr>
          </m:sSubPr>
          <m:e>
            <m:r>
              <m:rPr>
                <m:sty m:val="p"/>
              </m:rPr>
              <w:rPr>
                <w:rFonts w:ascii="Cambria Math" w:hAnsi="Cambria Math"/>
              </w:rPr>
              <m:t>dJ</m:t>
            </m:r>
          </m:e>
          <m:sub>
            <m:r>
              <m:rPr>
                <m:sty m:val="p"/>
              </m:rPr>
              <w:rPr>
                <w:rFonts w:ascii="Cambria Math" w:hAnsi="Cambria Math"/>
              </w:rPr>
              <m:t>i</m:t>
            </m:r>
          </m:sub>
        </m:sSub>
      </m:oMath>
      <w:r>
        <w:rPr>
          <w:rFonts w:hint="eastAsia"/>
        </w:rPr>
        <w:t>は、対象期間内に高</w:t>
      </w:r>
      <w:r w:rsidR="001F42BF">
        <w:rPr>
          <w:rFonts w:hint="eastAsia"/>
        </w:rPr>
        <w:t>熱量ガスへの熱量変更が行われたか否かを意味するダミー変数である。なお、これは</w:t>
      </w:r>
      <w:r>
        <w:rPr>
          <w:rFonts w:hint="eastAsia"/>
        </w:rPr>
        <w:t>上述の</w:t>
      </w:r>
      <m:oMath>
        <m:sSub>
          <m:sSubPr>
            <m:ctrlPr>
              <w:rPr>
                <w:rFonts w:ascii="Cambria Math" w:hAnsi="Cambria Math"/>
              </w:rPr>
            </m:ctrlPr>
          </m:sSubPr>
          <m:e>
            <m:r>
              <m:rPr>
                <m:sty m:val="p"/>
              </m:rPr>
              <w:rPr>
                <w:rFonts w:ascii="Cambria Math" w:hAnsi="Cambria Math"/>
              </w:rPr>
              <m:t>dJ</m:t>
            </m:r>
          </m:e>
          <m:sub>
            <m:r>
              <m:rPr>
                <m:sty m:val="p"/>
              </m:rPr>
              <w:rPr>
                <w:rFonts w:ascii="Cambria Math" w:hAnsi="Cambria Math"/>
              </w:rPr>
              <m:t>it</m:t>
            </m:r>
          </m:sub>
        </m:sSub>
      </m:oMath>
      <w:r w:rsidR="00DB65F0">
        <w:rPr>
          <w:rFonts w:hint="eastAsia"/>
        </w:rPr>
        <w:t>、つまり当該時点で高熱量のガスを供給しているかを示す熱量ダミー</w:t>
      </w:r>
      <w:r w:rsidR="005A5270">
        <w:rPr>
          <w:rFonts w:hint="eastAsia"/>
        </w:rPr>
        <w:t>と</w:t>
      </w:r>
      <w:r w:rsidR="00453930">
        <w:rPr>
          <w:rFonts w:hint="eastAsia"/>
        </w:rPr>
        <w:t>意味が</w:t>
      </w:r>
      <w:r w:rsidR="005A5270">
        <w:rPr>
          <w:rFonts w:hint="eastAsia"/>
        </w:rPr>
        <w:t>異なることに注意されたい</w:t>
      </w:r>
      <w:r>
        <w:rPr>
          <w:rFonts w:hint="eastAsia"/>
        </w:rPr>
        <w:t>。</w:t>
      </w:r>
    </w:p>
    <w:p w14:paraId="0F684A53" w14:textId="77777777" w:rsidR="007E51FF" w:rsidRDefault="002B1EE1" w:rsidP="002B1EE1">
      <w:r>
        <w:rPr>
          <w:rFonts w:hint="eastAsia"/>
        </w:rPr>
        <w:t xml:space="preserve">　</w:t>
      </w:r>
      <w:r w:rsidR="007E51FF">
        <w:rPr>
          <w:rFonts w:hint="eastAsia"/>
        </w:rPr>
        <w:t>この式を</w:t>
      </w:r>
      <w:proofErr w:type="spellStart"/>
      <w:r w:rsidR="001313F8">
        <w:rPr>
          <w:rFonts w:hint="eastAsia"/>
        </w:rPr>
        <w:t>stata</w:t>
      </w:r>
      <w:proofErr w:type="spellEnd"/>
      <w:r>
        <w:rPr>
          <w:rFonts w:hint="eastAsia"/>
        </w:rPr>
        <w:t>によって上述の回帰式の係数を推定したところ、以下の結果が得られた。</w:t>
      </w:r>
    </w:p>
    <w:p w14:paraId="2EF80AF3" w14:textId="77777777" w:rsidR="00E410CD" w:rsidRDefault="001B6DD9" w:rsidP="00E410CD">
      <w:r>
        <w:fldChar w:fldCharType="begin"/>
      </w:r>
      <w:r>
        <w:instrText xml:space="preserve"> </w:instrText>
      </w:r>
      <w:r>
        <w:rPr>
          <w:rFonts w:hint="eastAsia"/>
        </w:rPr>
        <w:instrText xml:space="preserve">LINK </w:instrText>
      </w:r>
      <w:r w:rsidR="00E410CD">
        <w:instrText>Excel.Sheet.12</w:instrText>
      </w:r>
      <w:r w:rsidR="00E410CD">
        <w:rPr>
          <w:rFonts w:hint="eastAsia"/>
        </w:rPr>
        <w:instrText xml:space="preserve"> "C:\\Users\\Owner\\Desktop\\DID</w:instrText>
      </w:r>
      <w:r w:rsidR="00E410CD">
        <w:rPr>
          <w:rFonts w:hint="eastAsia"/>
        </w:rPr>
        <w:instrText xml:space="preserve">　元データ</w:instrText>
      </w:r>
      <w:r w:rsidR="00E410CD">
        <w:rPr>
          <w:rFonts w:hint="eastAsia"/>
        </w:rPr>
        <w:instrText xml:space="preserve"> (2).xlsx" </w:instrText>
      </w:r>
      <w:r w:rsidR="00E410CD">
        <w:rPr>
          <w:rFonts w:hint="eastAsia"/>
        </w:rPr>
        <w:instrText>レポート用</w:instrText>
      </w:r>
      <w:r w:rsidR="00E410CD">
        <w:rPr>
          <w:rFonts w:hint="eastAsia"/>
        </w:rPr>
        <w:instrText xml:space="preserve">!R2C1:R5C6 </w:instrText>
      </w:r>
      <w:r>
        <w:rPr>
          <w:rFonts w:hint="eastAsia"/>
        </w:rPr>
        <w:instrText>\a \f 5 \h</w:instrText>
      </w:r>
      <w:r>
        <w:instrText xml:space="preserve">  \* MERGEFORMAT </w:instrText>
      </w:r>
      <w:r>
        <w:fldChar w:fldCharType="separate"/>
      </w:r>
    </w:p>
    <w:tbl>
      <w:tblPr>
        <w:tblStyle w:val="af"/>
        <w:tblW w:w="6660" w:type="dxa"/>
        <w:jc w:val="center"/>
        <w:tblLook w:val="04A0" w:firstRow="1" w:lastRow="0" w:firstColumn="1" w:lastColumn="0" w:noHBand="0" w:noVBand="1"/>
      </w:tblPr>
      <w:tblGrid>
        <w:gridCol w:w="1030"/>
        <w:gridCol w:w="594"/>
        <w:gridCol w:w="1260"/>
        <w:gridCol w:w="1260"/>
        <w:gridCol w:w="1400"/>
        <w:gridCol w:w="1260"/>
      </w:tblGrid>
      <w:tr w:rsidR="00E410CD" w:rsidRPr="00E410CD" w14:paraId="28DE4828" w14:textId="77777777" w:rsidTr="00E410CD">
        <w:trPr>
          <w:divId w:val="140268452"/>
          <w:trHeight w:val="270"/>
          <w:jc w:val="center"/>
        </w:trPr>
        <w:tc>
          <w:tcPr>
            <w:tcW w:w="920" w:type="dxa"/>
            <w:noWrap/>
            <w:hideMark/>
          </w:tcPr>
          <w:p w14:paraId="7CC8D9F9" w14:textId="77777777" w:rsidR="00E410CD" w:rsidRPr="00E410CD" w:rsidRDefault="00E410CD" w:rsidP="00E410CD">
            <w:pPr>
              <w:jc w:val="center"/>
            </w:pPr>
            <w:r w:rsidRPr="00E410CD">
              <w:rPr>
                <w:rFonts w:hint="eastAsia"/>
              </w:rPr>
              <w:t>Variable</w:t>
            </w:r>
          </w:p>
        </w:tc>
        <w:tc>
          <w:tcPr>
            <w:tcW w:w="560" w:type="dxa"/>
            <w:noWrap/>
            <w:hideMark/>
          </w:tcPr>
          <w:p w14:paraId="405F3385" w14:textId="77777777" w:rsidR="00E410CD" w:rsidRPr="00E410CD" w:rsidRDefault="00E410CD" w:rsidP="00E410CD">
            <w:pPr>
              <w:jc w:val="center"/>
            </w:pPr>
            <w:proofErr w:type="spellStart"/>
            <w:r w:rsidRPr="00E410CD">
              <w:rPr>
                <w:rFonts w:hint="eastAsia"/>
              </w:rPr>
              <w:t>Obs</w:t>
            </w:r>
            <w:proofErr w:type="spellEnd"/>
          </w:p>
        </w:tc>
        <w:tc>
          <w:tcPr>
            <w:tcW w:w="1260" w:type="dxa"/>
            <w:noWrap/>
            <w:hideMark/>
          </w:tcPr>
          <w:p w14:paraId="1F485E25" w14:textId="77777777" w:rsidR="00E410CD" w:rsidRPr="00E410CD" w:rsidRDefault="00E410CD" w:rsidP="00E410CD">
            <w:pPr>
              <w:jc w:val="center"/>
            </w:pPr>
            <w:r w:rsidRPr="00E410CD">
              <w:rPr>
                <w:rFonts w:hint="eastAsia"/>
              </w:rPr>
              <w:t>Mean</w:t>
            </w:r>
          </w:p>
        </w:tc>
        <w:tc>
          <w:tcPr>
            <w:tcW w:w="1260" w:type="dxa"/>
            <w:noWrap/>
            <w:hideMark/>
          </w:tcPr>
          <w:p w14:paraId="36506957" w14:textId="77777777" w:rsidR="00E410CD" w:rsidRPr="00E410CD" w:rsidRDefault="00E410CD" w:rsidP="00E410CD">
            <w:pPr>
              <w:jc w:val="center"/>
            </w:pPr>
            <w:r w:rsidRPr="00E410CD">
              <w:rPr>
                <w:rFonts w:hint="eastAsia"/>
              </w:rPr>
              <w:t>Std. Dev.</w:t>
            </w:r>
          </w:p>
        </w:tc>
        <w:tc>
          <w:tcPr>
            <w:tcW w:w="1400" w:type="dxa"/>
            <w:noWrap/>
            <w:hideMark/>
          </w:tcPr>
          <w:p w14:paraId="45E5F56A" w14:textId="77777777" w:rsidR="00E410CD" w:rsidRPr="00E410CD" w:rsidRDefault="00E410CD" w:rsidP="00E410CD">
            <w:pPr>
              <w:jc w:val="center"/>
            </w:pPr>
            <w:r w:rsidRPr="00E410CD">
              <w:rPr>
                <w:rFonts w:hint="eastAsia"/>
              </w:rPr>
              <w:t>Min</w:t>
            </w:r>
          </w:p>
        </w:tc>
        <w:tc>
          <w:tcPr>
            <w:tcW w:w="1260" w:type="dxa"/>
            <w:noWrap/>
            <w:hideMark/>
          </w:tcPr>
          <w:p w14:paraId="2204AFF0" w14:textId="77777777" w:rsidR="00E410CD" w:rsidRPr="00E410CD" w:rsidRDefault="00E410CD" w:rsidP="00E410CD">
            <w:pPr>
              <w:jc w:val="center"/>
            </w:pPr>
            <w:r w:rsidRPr="00E410CD">
              <w:rPr>
                <w:rFonts w:hint="eastAsia"/>
              </w:rPr>
              <w:t>Max</w:t>
            </w:r>
          </w:p>
        </w:tc>
      </w:tr>
      <w:tr w:rsidR="00E410CD" w:rsidRPr="00E410CD" w14:paraId="6B6631F3" w14:textId="77777777" w:rsidTr="001D27C5">
        <w:trPr>
          <w:divId w:val="140268452"/>
          <w:trHeight w:val="270"/>
          <w:jc w:val="center"/>
        </w:trPr>
        <w:tc>
          <w:tcPr>
            <w:tcW w:w="920" w:type="dxa"/>
            <w:noWrap/>
            <w:hideMark/>
          </w:tcPr>
          <w:p w14:paraId="7282E252" w14:textId="77777777" w:rsidR="00E410CD" w:rsidRPr="00E410CD" w:rsidRDefault="00E410CD" w:rsidP="00E410CD">
            <w:pPr>
              <w:jc w:val="center"/>
            </w:pPr>
            <w:r w:rsidRPr="00E410CD">
              <w:rPr>
                <w:rFonts w:hint="eastAsia"/>
              </w:rPr>
              <w:t>y</w:t>
            </w:r>
          </w:p>
        </w:tc>
        <w:tc>
          <w:tcPr>
            <w:tcW w:w="560" w:type="dxa"/>
            <w:noWrap/>
            <w:hideMark/>
          </w:tcPr>
          <w:p w14:paraId="2231620C" w14:textId="77777777" w:rsidR="00E410CD" w:rsidRPr="00E410CD" w:rsidRDefault="00E410CD" w:rsidP="00E410CD">
            <w:pPr>
              <w:jc w:val="center"/>
            </w:pPr>
            <w:r w:rsidRPr="00E410CD">
              <w:rPr>
                <w:rFonts w:hint="eastAsia"/>
              </w:rPr>
              <w:t>21</w:t>
            </w:r>
          </w:p>
        </w:tc>
        <w:tc>
          <w:tcPr>
            <w:tcW w:w="1260" w:type="dxa"/>
            <w:noWrap/>
          </w:tcPr>
          <w:p w14:paraId="5B8B1C62" w14:textId="77777777" w:rsidR="00E410CD" w:rsidRPr="00E410CD" w:rsidRDefault="001D27C5" w:rsidP="00E410CD">
            <w:pPr>
              <w:jc w:val="center"/>
            </w:pPr>
            <w:r>
              <w:rPr>
                <w:rFonts w:hint="eastAsia"/>
              </w:rPr>
              <w:t>0.0075995</w:t>
            </w:r>
          </w:p>
        </w:tc>
        <w:tc>
          <w:tcPr>
            <w:tcW w:w="1260" w:type="dxa"/>
            <w:noWrap/>
          </w:tcPr>
          <w:p w14:paraId="02CCB405" w14:textId="77777777" w:rsidR="00E410CD" w:rsidRPr="00E410CD" w:rsidRDefault="001D27C5" w:rsidP="00E410CD">
            <w:pPr>
              <w:jc w:val="center"/>
            </w:pPr>
            <w:r>
              <w:rPr>
                <w:rFonts w:hint="eastAsia"/>
              </w:rPr>
              <w:t>0.010504</w:t>
            </w:r>
          </w:p>
        </w:tc>
        <w:tc>
          <w:tcPr>
            <w:tcW w:w="1400" w:type="dxa"/>
            <w:noWrap/>
          </w:tcPr>
          <w:p w14:paraId="0222E42F" w14:textId="77777777" w:rsidR="00E410CD" w:rsidRPr="00E410CD" w:rsidRDefault="001D27C5" w:rsidP="00E410CD">
            <w:pPr>
              <w:jc w:val="center"/>
            </w:pPr>
            <w:r>
              <w:rPr>
                <w:rFonts w:hint="eastAsia"/>
              </w:rPr>
              <w:t>-0.0017515</w:t>
            </w:r>
          </w:p>
        </w:tc>
        <w:tc>
          <w:tcPr>
            <w:tcW w:w="1260" w:type="dxa"/>
            <w:noWrap/>
          </w:tcPr>
          <w:p w14:paraId="0F9893AE" w14:textId="77777777" w:rsidR="00E410CD" w:rsidRPr="00E410CD" w:rsidRDefault="001D27C5" w:rsidP="00E410CD">
            <w:pPr>
              <w:jc w:val="center"/>
            </w:pPr>
            <w:r>
              <w:rPr>
                <w:rFonts w:hint="eastAsia"/>
              </w:rPr>
              <w:t>0.0427757</w:t>
            </w:r>
          </w:p>
        </w:tc>
      </w:tr>
      <w:tr w:rsidR="00E410CD" w:rsidRPr="00E410CD" w14:paraId="19A1C391" w14:textId="77777777" w:rsidTr="001D27C5">
        <w:trPr>
          <w:divId w:val="140268452"/>
          <w:trHeight w:val="270"/>
          <w:jc w:val="center"/>
        </w:trPr>
        <w:tc>
          <w:tcPr>
            <w:tcW w:w="920" w:type="dxa"/>
            <w:noWrap/>
            <w:hideMark/>
          </w:tcPr>
          <w:p w14:paraId="4A973540" w14:textId="77777777" w:rsidR="00E410CD" w:rsidRPr="00E410CD" w:rsidRDefault="00E410CD" w:rsidP="00E410CD">
            <w:pPr>
              <w:jc w:val="center"/>
            </w:pPr>
            <w:proofErr w:type="spellStart"/>
            <w:r w:rsidRPr="00E410CD">
              <w:rPr>
                <w:rFonts w:hint="eastAsia"/>
              </w:rPr>
              <w:t>dP</w:t>
            </w:r>
            <w:proofErr w:type="spellEnd"/>
          </w:p>
        </w:tc>
        <w:tc>
          <w:tcPr>
            <w:tcW w:w="560" w:type="dxa"/>
            <w:noWrap/>
            <w:hideMark/>
          </w:tcPr>
          <w:p w14:paraId="25E2B756" w14:textId="77777777" w:rsidR="00E410CD" w:rsidRPr="00E410CD" w:rsidRDefault="00E410CD" w:rsidP="00E410CD">
            <w:pPr>
              <w:jc w:val="center"/>
            </w:pPr>
            <w:r w:rsidRPr="00E410CD">
              <w:rPr>
                <w:rFonts w:hint="eastAsia"/>
              </w:rPr>
              <w:t>21</w:t>
            </w:r>
          </w:p>
        </w:tc>
        <w:tc>
          <w:tcPr>
            <w:tcW w:w="1260" w:type="dxa"/>
            <w:noWrap/>
          </w:tcPr>
          <w:p w14:paraId="05A024FA" w14:textId="77777777" w:rsidR="00E410CD" w:rsidRPr="00E410CD" w:rsidRDefault="001D27C5" w:rsidP="00E410CD">
            <w:pPr>
              <w:jc w:val="center"/>
            </w:pPr>
            <w:r>
              <w:rPr>
                <w:rFonts w:hint="eastAsia"/>
              </w:rPr>
              <w:t>0.4761905</w:t>
            </w:r>
          </w:p>
        </w:tc>
        <w:tc>
          <w:tcPr>
            <w:tcW w:w="1260" w:type="dxa"/>
            <w:noWrap/>
          </w:tcPr>
          <w:p w14:paraId="6BB75047" w14:textId="77777777" w:rsidR="00E410CD" w:rsidRPr="00E410CD" w:rsidRDefault="001D27C5" w:rsidP="00E410CD">
            <w:pPr>
              <w:jc w:val="center"/>
            </w:pPr>
            <w:r>
              <w:rPr>
                <w:rFonts w:hint="eastAsia"/>
              </w:rPr>
              <w:t>0.5117663</w:t>
            </w:r>
          </w:p>
        </w:tc>
        <w:tc>
          <w:tcPr>
            <w:tcW w:w="1400" w:type="dxa"/>
            <w:noWrap/>
            <w:hideMark/>
          </w:tcPr>
          <w:p w14:paraId="728F9C3E" w14:textId="77777777" w:rsidR="00E410CD" w:rsidRPr="00E410CD" w:rsidRDefault="00E410CD" w:rsidP="00E410CD">
            <w:pPr>
              <w:jc w:val="center"/>
            </w:pPr>
            <w:r w:rsidRPr="00E410CD">
              <w:rPr>
                <w:rFonts w:hint="eastAsia"/>
              </w:rPr>
              <w:t>0</w:t>
            </w:r>
          </w:p>
        </w:tc>
        <w:tc>
          <w:tcPr>
            <w:tcW w:w="1260" w:type="dxa"/>
            <w:noWrap/>
            <w:hideMark/>
          </w:tcPr>
          <w:p w14:paraId="0A69D875" w14:textId="77777777" w:rsidR="00E410CD" w:rsidRPr="00E410CD" w:rsidRDefault="00E410CD" w:rsidP="00E410CD">
            <w:pPr>
              <w:jc w:val="center"/>
            </w:pPr>
            <w:r w:rsidRPr="00E410CD">
              <w:rPr>
                <w:rFonts w:hint="eastAsia"/>
              </w:rPr>
              <w:t>1</w:t>
            </w:r>
          </w:p>
        </w:tc>
      </w:tr>
      <w:tr w:rsidR="00E410CD" w:rsidRPr="00E410CD" w14:paraId="0E9BBD60" w14:textId="77777777" w:rsidTr="001D27C5">
        <w:trPr>
          <w:divId w:val="140268452"/>
          <w:trHeight w:val="270"/>
          <w:jc w:val="center"/>
        </w:trPr>
        <w:tc>
          <w:tcPr>
            <w:tcW w:w="920" w:type="dxa"/>
            <w:noWrap/>
            <w:hideMark/>
          </w:tcPr>
          <w:p w14:paraId="6DD85AF4" w14:textId="77777777" w:rsidR="00E410CD" w:rsidRPr="00E410CD" w:rsidRDefault="00E410CD" w:rsidP="00E410CD">
            <w:pPr>
              <w:jc w:val="center"/>
            </w:pPr>
            <w:proofErr w:type="spellStart"/>
            <w:r w:rsidRPr="00E410CD">
              <w:rPr>
                <w:rFonts w:hint="eastAsia"/>
              </w:rPr>
              <w:t>dJ</w:t>
            </w:r>
            <w:proofErr w:type="spellEnd"/>
          </w:p>
        </w:tc>
        <w:tc>
          <w:tcPr>
            <w:tcW w:w="560" w:type="dxa"/>
            <w:noWrap/>
            <w:hideMark/>
          </w:tcPr>
          <w:p w14:paraId="20263535" w14:textId="77777777" w:rsidR="00E410CD" w:rsidRPr="00E410CD" w:rsidRDefault="00E410CD" w:rsidP="00E410CD">
            <w:pPr>
              <w:jc w:val="center"/>
            </w:pPr>
            <w:r w:rsidRPr="00E410CD">
              <w:rPr>
                <w:rFonts w:hint="eastAsia"/>
              </w:rPr>
              <w:t>21</w:t>
            </w:r>
          </w:p>
        </w:tc>
        <w:tc>
          <w:tcPr>
            <w:tcW w:w="1260" w:type="dxa"/>
            <w:noWrap/>
          </w:tcPr>
          <w:p w14:paraId="74D401C0" w14:textId="77777777" w:rsidR="00E410CD" w:rsidRPr="00E410CD" w:rsidRDefault="001D27C5" w:rsidP="00E410CD">
            <w:pPr>
              <w:jc w:val="center"/>
            </w:pPr>
            <w:r>
              <w:rPr>
                <w:rFonts w:hint="eastAsia"/>
              </w:rPr>
              <w:t>0.5714286</w:t>
            </w:r>
          </w:p>
        </w:tc>
        <w:tc>
          <w:tcPr>
            <w:tcW w:w="1260" w:type="dxa"/>
            <w:noWrap/>
          </w:tcPr>
          <w:p w14:paraId="0454183E" w14:textId="77777777" w:rsidR="00E410CD" w:rsidRPr="00E410CD" w:rsidRDefault="001D27C5" w:rsidP="00E410CD">
            <w:pPr>
              <w:jc w:val="center"/>
            </w:pPr>
            <w:r>
              <w:rPr>
                <w:rFonts w:hint="eastAsia"/>
              </w:rPr>
              <w:t>0.5070926</w:t>
            </w:r>
          </w:p>
        </w:tc>
        <w:tc>
          <w:tcPr>
            <w:tcW w:w="1400" w:type="dxa"/>
            <w:noWrap/>
            <w:hideMark/>
          </w:tcPr>
          <w:p w14:paraId="2932AECF" w14:textId="77777777" w:rsidR="00E410CD" w:rsidRPr="00E410CD" w:rsidRDefault="00E410CD" w:rsidP="00E410CD">
            <w:pPr>
              <w:jc w:val="center"/>
            </w:pPr>
            <w:r w:rsidRPr="00E410CD">
              <w:rPr>
                <w:rFonts w:hint="eastAsia"/>
              </w:rPr>
              <w:t>0</w:t>
            </w:r>
          </w:p>
        </w:tc>
        <w:tc>
          <w:tcPr>
            <w:tcW w:w="1260" w:type="dxa"/>
            <w:noWrap/>
            <w:hideMark/>
          </w:tcPr>
          <w:p w14:paraId="1868FC17" w14:textId="77777777" w:rsidR="00E410CD" w:rsidRPr="00E410CD" w:rsidRDefault="00E410CD" w:rsidP="00E410CD">
            <w:pPr>
              <w:jc w:val="center"/>
            </w:pPr>
            <w:r w:rsidRPr="00E410CD">
              <w:rPr>
                <w:rFonts w:hint="eastAsia"/>
              </w:rPr>
              <w:t>1</w:t>
            </w:r>
          </w:p>
        </w:tc>
      </w:tr>
    </w:tbl>
    <w:p w14:paraId="6DA42146" w14:textId="3361C169" w:rsidR="00DC57B5" w:rsidRDefault="001B6DD9" w:rsidP="00957AB5">
      <w:pPr>
        <w:jc w:val="center"/>
        <w:rPr>
          <w:rFonts w:hint="eastAsia"/>
        </w:rPr>
      </w:pPr>
      <w:r>
        <w:fldChar w:fldCharType="end"/>
      </w:r>
      <w:r>
        <w:rPr>
          <w:rFonts w:hint="eastAsia"/>
        </w:rPr>
        <w:t>表</w:t>
      </w:r>
      <w:r w:rsidR="007F7131">
        <w:rPr>
          <w:rFonts w:hint="eastAsia"/>
        </w:rPr>
        <w:t>5</w:t>
      </w:r>
      <w:r>
        <w:rPr>
          <w:rFonts w:hint="eastAsia"/>
        </w:rPr>
        <w:t xml:space="preserve"> </w:t>
      </w:r>
      <w:r>
        <w:rPr>
          <w:rFonts w:hint="eastAsia"/>
        </w:rPr>
        <w:t>基本統計量</w:t>
      </w:r>
    </w:p>
    <w:p w14:paraId="45952994" w14:textId="77777777" w:rsidR="007F7131" w:rsidRDefault="007F7131" w:rsidP="001B6DD9">
      <w:pPr>
        <w:jc w:val="center"/>
        <w:rPr>
          <w:rFonts w:hint="eastAsia"/>
        </w:rPr>
      </w:pPr>
    </w:p>
    <w:p w14:paraId="2ADDC84D" w14:textId="77777777" w:rsidR="00453930" w:rsidRDefault="00453930" w:rsidP="001B6DD9">
      <w:pPr>
        <w:jc w:val="center"/>
      </w:pPr>
    </w:p>
    <w:p w14:paraId="4C9D5BFC" w14:textId="77777777" w:rsidR="00E410CD" w:rsidRDefault="00DC57B5" w:rsidP="00E410CD">
      <w:pPr>
        <w:jc w:val="left"/>
      </w:pPr>
      <w:r>
        <w:lastRenderedPageBreak/>
        <w:t>N</w:t>
      </w:r>
      <w:r>
        <w:rPr>
          <w:rFonts w:hint="eastAsia"/>
        </w:rPr>
        <w:t>=21, adjusted R</w:t>
      </w:r>
      <w:r w:rsidRPr="00F52BA1">
        <w:rPr>
          <w:rFonts w:hint="eastAsia"/>
          <w:vertAlign w:val="superscript"/>
        </w:rPr>
        <w:t>2</w:t>
      </w:r>
      <w:r>
        <w:rPr>
          <w:rFonts w:hint="eastAsia"/>
        </w:rPr>
        <w:t>=</w:t>
      </w:r>
      <w:r w:rsidR="001313F8">
        <w:t>0.0</w:t>
      </w:r>
      <w:r w:rsidR="001313F8">
        <w:rPr>
          <w:rFonts w:hint="eastAsia"/>
        </w:rPr>
        <w:t>435</w:t>
      </w:r>
      <w:r w:rsidR="001B6DD9">
        <w:fldChar w:fldCharType="begin"/>
      </w:r>
      <w:r w:rsidR="001B6DD9">
        <w:instrText xml:space="preserve"> </w:instrText>
      </w:r>
      <w:r w:rsidR="001B6DD9">
        <w:rPr>
          <w:rFonts w:hint="eastAsia"/>
        </w:rPr>
        <w:instrText xml:space="preserve">LINK </w:instrText>
      </w:r>
      <w:r w:rsidR="00E410CD">
        <w:instrText>Excel.Sheet.12</w:instrText>
      </w:r>
      <w:r w:rsidR="00E410CD">
        <w:rPr>
          <w:rFonts w:hint="eastAsia"/>
        </w:rPr>
        <w:instrText xml:space="preserve"> "C:\\Users\\Owner\\Desktop\\DID</w:instrText>
      </w:r>
      <w:r w:rsidR="00E410CD">
        <w:rPr>
          <w:rFonts w:hint="eastAsia"/>
        </w:rPr>
        <w:instrText xml:space="preserve">　元データ</w:instrText>
      </w:r>
      <w:r w:rsidR="00E410CD">
        <w:rPr>
          <w:rFonts w:hint="eastAsia"/>
        </w:rPr>
        <w:instrText xml:space="preserve"> (2).xlsx" </w:instrText>
      </w:r>
      <w:r w:rsidR="00E410CD">
        <w:rPr>
          <w:rFonts w:hint="eastAsia"/>
        </w:rPr>
        <w:instrText>レポート用</w:instrText>
      </w:r>
      <w:r w:rsidR="00E410CD">
        <w:rPr>
          <w:rFonts w:hint="eastAsia"/>
        </w:rPr>
        <w:instrText xml:space="preserve">!R7C1:R10C7 </w:instrText>
      </w:r>
      <w:r w:rsidR="001B6DD9">
        <w:rPr>
          <w:rFonts w:hint="eastAsia"/>
        </w:rPr>
        <w:instrText>\a \f 5 \h</w:instrText>
      </w:r>
      <w:r w:rsidR="001B6DD9">
        <w:instrText xml:space="preserve">  \* MERGEFORMAT </w:instrText>
      </w:r>
      <w:r w:rsidR="001B6DD9">
        <w:fldChar w:fldCharType="separate"/>
      </w:r>
    </w:p>
    <w:tbl>
      <w:tblPr>
        <w:tblStyle w:val="af"/>
        <w:tblW w:w="9060" w:type="dxa"/>
        <w:jc w:val="center"/>
        <w:tblLook w:val="04A0" w:firstRow="1" w:lastRow="0" w:firstColumn="1" w:lastColumn="0" w:noHBand="0" w:noVBand="1"/>
      </w:tblPr>
      <w:tblGrid>
        <w:gridCol w:w="1080"/>
        <w:gridCol w:w="1400"/>
        <w:gridCol w:w="1260"/>
        <w:gridCol w:w="1260"/>
        <w:gridCol w:w="1400"/>
        <w:gridCol w:w="1400"/>
        <w:gridCol w:w="1260"/>
      </w:tblGrid>
      <w:tr w:rsidR="00E410CD" w:rsidRPr="00E410CD" w14:paraId="6693CAD7" w14:textId="77777777" w:rsidTr="00E410CD">
        <w:trPr>
          <w:divId w:val="1663579078"/>
          <w:trHeight w:val="270"/>
          <w:jc w:val="center"/>
        </w:trPr>
        <w:tc>
          <w:tcPr>
            <w:tcW w:w="1080" w:type="dxa"/>
            <w:noWrap/>
            <w:hideMark/>
          </w:tcPr>
          <w:p w14:paraId="4BDEBF91" w14:textId="77777777" w:rsidR="00E410CD" w:rsidRPr="00E410CD" w:rsidRDefault="00E410CD" w:rsidP="00E410CD">
            <w:pPr>
              <w:jc w:val="center"/>
            </w:pPr>
            <w:r w:rsidRPr="00E410CD">
              <w:rPr>
                <w:rFonts w:hint="eastAsia"/>
              </w:rPr>
              <w:t>経常利益</w:t>
            </w:r>
          </w:p>
        </w:tc>
        <w:tc>
          <w:tcPr>
            <w:tcW w:w="1400" w:type="dxa"/>
            <w:noWrap/>
            <w:hideMark/>
          </w:tcPr>
          <w:p w14:paraId="3B680288" w14:textId="77777777" w:rsidR="00E410CD" w:rsidRPr="00E410CD" w:rsidRDefault="00E410CD" w:rsidP="00E410CD">
            <w:pPr>
              <w:jc w:val="center"/>
            </w:pPr>
            <w:proofErr w:type="spellStart"/>
            <w:r w:rsidRPr="00E410CD">
              <w:rPr>
                <w:rFonts w:hint="eastAsia"/>
              </w:rPr>
              <w:t>Coef</w:t>
            </w:r>
            <w:proofErr w:type="spellEnd"/>
            <w:r w:rsidRPr="00E410CD">
              <w:rPr>
                <w:rFonts w:hint="eastAsia"/>
              </w:rPr>
              <w:t>.</w:t>
            </w:r>
          </w:p>
        </w:tc>
        <w:tc>
          <w:tcPr>
            <w:tcW w:w="1260" w:type="dxa"/>
            <w:noWrap/>
            <w:hideMark/>
          </w:tcPr>
          <w:p w14:paraId="2035E19E" w14:textId="77777777" w:rsidR="00E410CD" w:rsidRPr="00E410CD" w:rsidRDefault="00E410CD" w:rsidP="00E410CD">
            <w:pPr>
              <w:jc w:val="center"/>
            </w:pPr>
            <w:r w:rsidRPr="00E410CD">
              <w:rPr>
                <w:rFonts w:hint="eastAsia"/>
              </w:rPr>
              <w:t>Std. Err.</w:t>
            </w:r>
          </w:p>
        </w:tc>
        <w:tc>
          <w:tcPr>
            <w:tcW w:w="1260" w:type="dxa"/>
            <w:noWrap/>
            <w:hideMark/>
          </w:tcPr>
          <w:p w14:paraId="4E1D2571" w14:textId="77777777" w:rsidR="00E410CD" w:rsidRPr="00E410CD" w:rsidRDefault="00E410CD" w:rsidP="00E410CD">
            <w:pPr>
              <w:jc w:val="center"/>
            </w:pPr>
            <w:r w:rsidRPr="00E410CD">
              <w:rPr>
                <w:rFonts w:hint="eastAsia"/>
              </w:rPr>
              <w:t>t</w:t>
            </w:r>
          </w:p>
        </w:tc>
        <w:tc>
          <w:tcPr>
            <w:tcW w:w="1400" w:type="dxa"/>
            <w:noWrap/>
            <w:hideMark/>
          </w:tcPr>
          <w:p w14:paraId="4F323EFC" w14:textId="77777777" w:rsidR="00E410CD" w:rsidRPr="00E410CD" w:rsidRDefault="00E410CD" w:rsidP="00E410CD">
            <w:pPr>
              <w:jc w:val="center"/>
            </w:pPr>
            <w:r w:rsidRPr="00E410CD">
              <w:rPr>
                <w:rFonts w:hint="eastAsia"/>
              </w:rPr>
              <w:t>P&gt;|t|</w:t>
            </w:r>
          </w:p>
        </w:tc>
        <w:tc>
          <w:tcPr>
            <w:tcW w:w="1400" w:type="dxa"/>
            <w:noWrap/>
            <w:hideMark/>
          </w:tcPr>
          <w:p w14:paraId="55A728B4" w14:textId="77777777" w:rsidR="00E410CD" w:rsidRPr="00E410CD" w:rsidRDefault="00E410CD" w:rsidP="00E410CD">
            <w:pPr>
              <w:jc w:val="center"/>
            </w:pPr>
            <w:r w:rsidRPr="00E410CD">
              <w:rPr>
                <w:rFonts w:hint="eastAsia"/>
              </w:rPr>
              <w:t>[95% Conf.</w:t>
            </w:r>
          </w:p>
        </w:tc>
        <w:tc>
          <w:tcPr>
            <w:tcW w:w="1260" w:type="dxa"/>
            <w:noWrap/>
            <w:hideMark/>
          </w:tcPr>
          <w:p w14:paraId="08D17575" w14:textId="77777777" w:rsidR="00E410CD" w:rsidRPr="00E410CD" w:rsidRDefault="00E410CD" w:rsidP="00E410CD">
            <w:pPr>
              <w:jc w:val="center"/>
            </w:pPr>
            <w:r w:rsidRPr="00E410CD">
              <w:rPr>
                <w:rFonts w:hint="eastAsia"/>
              </w:rPr>
              <w:t>Interval]</w:t>
            </w:r>
          </w:p>
        </w:tc>
      </w:tr>
      <w:tr w:rsidR="00E410CD" w:rsidRPr="00E410CD" w14:paraId="4BCD76E1" w14:textId="77777777" w:rsidTr="003D32D1">
        <w:trPr>
          <w:divId w:val="1663579078"/>
          <w:trHeight w:val="270"/>
          <w:jc w:val="center"/>
        </w:trPr>
        <w:tc>
          <w:tcPr>
            <w:tcW w:w="1080" w:type="dxa"/>
            <w:noWrap/>
            <w:hideMark/>
          </w:tcPr>
          <w:p w14:paraId="4ED982EE" w14:textId="77777777" w:rsidR="00E410CD" w:rsidRPr="00E410CD" w:rsidRDefault="00E410CD" w:rsidP="00E410CD">
            <w:pPr>
              <w:jc w:val="center"/>
            </w:pPr>
            <w:proofErr w:type="spellStart"/>
            <w:r w:rsidRPr="00E410CD">
              <w:rPr>
                <w:rFonts w:hint="eastAsia"/>
              </w:rPr>
              <w:t>dP</w:t>
            </w:r>
            <w:proofErr w:type="spellEnd"/>
          </w:p>
        </w:tc>
        <w:tc>
          <w:tcPr>
            <w:tcW w:w="1400" w:type="dxa"/>
            <w:noWrap/>
          </w:tcPr>
          <w:p w14:paraId="0980C2B9" w14:textId="77777777" w:rsidR="00E410CD" w:rsidRPr="00E410CD" w:rsidRDefault="00507FD5" w:rsidP="00E410CD">
            <w:pPr>
              <w:jc w:val="center"/>
            </w:pPr>
            <w:r>
              <w:rPr>
                <w:rFonts w:hint="eastAsia"/>
              </w:rPr>
              <w:t>0.0020833</w:t>
            </w:r>
          </w:p>
        </w:tc>
        <w:tc>
          <w:tcPr>
            <w:tcW w:w="1260" w:type="dxa"/>
            <w:noWrap/>
          </w:tcPr>
          <w:p w14:paraId="2BBAFA04" w14:textId="77777777" w:rsidR="00E410CD" w:rsidRPr="00E410CD" w:rsidRDefault="00507FD5" w:rsidP="00E410CD">
            <w:pPr>
              <w:jc w:val="center"/>
            </w:pPr>
            <w:r>
              <w:rPr>
                <w:rFonts w:hint="eastAsia"/>
              </w:rPr>
              <w:t>0.004633</w:t>
            </w:r>
          </w:p>
        </w:tc>
        <w:tc>
          <w:tcPr>
            <w:tcW w:w="1260" w:type="dxa"/>
            <w:noWrap/>
          </w:tcPr>
          <w:p w14:paraId="3F1637E1" w14:textId="77777777" w:rsidR="00E410CD" w:rsidRPr="00E410CD" w:rsidRDefault="00507FD5" w:rsidP="00E410CD">
            <w:pPr>
              <w:jc w:val="center"/>
            </w:pPr>
            <w:r>
              <w:rPr>
                <w:rFonts w:hint="eastAsia"/>
              </w:rPr>
              <w:t>0.45</w:t>
            </w:r>
          </w:p>
        </w:tc>
        <w:tc>
          <w:tcPr>
            <w:tcW w:w="1400" w:type="dxa"/>
            <w:noWrap/>
          </w:tcPr>
          <w:p w14:paraId="526A9711" w14:textId="77777777" w:rsidR="00E410CD" w:rsidRPr="00E410CD" w:rsidRDefault="00507FD5" w:rsidP="00E410CD">
            <w:pPr>
              <w:jc w:val="center"/>
            </w:pPr>
            <w:r>
              <w:rPr>
                <w:rFonts w:hint="eastAsia"/>
              </w:rPr>
              <w:t>0.658</w:t>
            </w:r>
          </w:p>
        </w:tc>
        <w:tc>
          <w:tcPr>
            <w:tcW w:w="1400" w:type="dxa"/>
            <w:noWrap/>
          </w:tcPr>
          <w:p w14:paraId="5E324955" w14:textId="77777777" w:rsidR="00E410CD" w:rsidRPr="00E410CD" w:rsidRDefault="00507FD5" w:rsidP="00E410CD">
            <w:pPr>
              <w:jc w:val="center"/>
            </w:pPr>
            <w:r>
              <w:rPr>
                <w:rFonts w:hint="eastAsia"/>
              </w:rPr>
              <w:t>-0.0076503</w:t>
            </w:r>
          </w:p>
        </w:tc>
        <w:tc>
          <w:tcPr>
            <w:tcW w:w="1260" w:type="dxa"/>
            <w:noWrap/>
          </w:tcPr>
          <w:p w14:paraId="4A3419C5" w14:textId="77777777" w:rsidR="00E410CD" w:rsidRPr="00E410CD" w:rsidRDefault="00507FD5" w:rsidP="00E410CD">
            <w:pPr>
              <w:jc w:val="center"/>
            </w:pPr>
            <w:r>
              <w:rPr>
                <w:rFonts w:hint="eastAsia"/>
              </w:rPr>
              <w:t>0.011817</w:t>
            </w:r>
          </w:p>
        </w:tc>
      </w:tr>
      <w:tr w:rsidR="00E410CD" w:rsidRPr="00E410CD" w14:paraId="289A5929" w14:textId="77777777" w:rsidTr="003D32D1">
        <w:trPr>
          <w:divId w:val="1663579078"/>
          <w:trHeight w:val="270"/>
          <w:jc w:val="center"/>
        </w:trPr>
        <w:tc>
          <w:tcPr>
            <w:tcW w:w="1080" w:type="dxa"/>
            <w:noWrap/>
            <w:hideMark/>
          </w:tcPr>
          <w:p w14:paraId="24566730" w14:textId="77777777" w:rsidR="00E410CD" w:rsidRPr="00E410CD" w:rsidRDefault="00E410CD" w:rsidP="00E410CD">
            <w:pPr>
              <w:jc w:val="center"/>
            </w:pPr>
            <w:proofErr w:type="spellStart"/>
            <w:r w:rsidRPr="00E410CD">
              <w:rPr>
                <w:rFonts w:hint="eastAsia"/>
              </w:rPr>
              <w:t>dJ</w:t>
            </w:r>
            <w:proofErr w:type="spellEnd"/>
          </w:p>
        </w:tc>
        <w:tc>
          <w:tcPr>
            <w:tcW w:w="1400" w:type="dxa"/>
            <w:noWrap/>
          </w:tcPr>
          <w:p w14:paraId="21C160ED" w14:textId="77777777" w:rsidR="00E410CD" w:rsidRPr="00E410CD" w:rsidRDefault="00507FD5" w:rsidP="00E410CD">
            <w:pPr>
              <w:jc w:val="center"/>
            </w:pPr>
            <w:r>
              <w:rPr>
                <w:rFonts w:hint="eastAsia"/>
              </w:rPr>
              <w:t>0.0069323</w:t>
            </w:r>
          </w:p>
        </w:tc>
        <w:tc>
          <w:tcPr>
            <w:tcW w:w="1260" w:type="dxa"/>
            <w:noWrap/>
          </w:tcPr>
          <w:p w14:paraId="12B01853" w14:textId="77777777" w:rsidR="00E410CD" w:rsidRPr="00E410CD" w:rsidRDefault="00507FD5" w:rsidP="00E410CD">
            <w:pPr>
              <w:jc w:val="center"/>
            </w:pPr>
            <w:r>
              <w:rPr>
                <w:rFonts w:hint="eastAsia"/>
              </w:rPr>
              <w:t>0.0046757</w:t>
            </w:r>
          </w:p>
        </w:tc>
        <w:tc>
          <w:tcPr>
            <w:tcW w:w="1260" w:type="dxa"/>
            <w:noWrap/>
          </w:tcPr>
          <w:p w14:paraId="08A1F2C9" w14:textId="77777777" w:rsidR="00E410CD" w:rsidRPr="00E410CD" w:rsidRDefault="00507FD5" w:rsidP="00E410CD">
            <w:pPr>
              <w:jc w:val="center"/>
            </w:pPr>
            <w:r>
              <w:rPr>
                <w:rFonts w:hint="eastAsia"/>
              </w:rPr>
              <w:t>1.48</w:t>
            </w:r>
          </w:p>
        </w:tc>
        <w:tc>
          <w:tcPr>
            <w:tcW w:w="1400" w:type="dxa"/>
            <w:noWrap/>
          </w:tcPr>
          <w:p w14:paraId="47EBB933" w14:textId="77777777" w:rsidR="00E410CD" w:rsidRPr="00E410CD" w:rsidRDefault="00507FD5" w:rsidP="00E410CD">
            <w:pPr>
              <w:jc w:val="center"/>
            </w:pPr>
            <w:r>
              <w:rPr>
                <w:rFonts w:hint="eastAsia"/>
              </w:rPr>
              <w:t>0.155</w:t>
            </w:r>
          </w:p>
        </w:tc>
        <w:tc>
          <w:tcPr>
            <w:tcW w:w="1400" w:type="dxa"/>
            <w:noWrap/>
          </w:tcPr>
          <w:p w14:paraId="392CAB80" w14:textId="77777777" w:rsidR="00E410CD" w:rsidRPr="00E410CD" w:rsidRDefault="00507FD5" w:rsidP="00E410CD">
            <w:pPr>
              <w:jc w:val="center"/>
            </w:pPr>
            <w:r>
              <w:rPr>
                <w:rFonts w:hint="eastAsia"/>
              </w:rPr>
              <w:t>-0.0028911</w:t>
            </w:r>
          </w:p>
        </w:tc>
        <w:tc>
          <w:tcPr>
            <w:tcW w:w="1260" w:type="dxa"/>
            <w:noWrap/>
          </w:tcPr>
          <w:p w14:paraId="01BC1C67" w14:textId="77777777" w:rsidR="00E410CD" w:rsidRPr="00E410CD" w:rsidRDefault="00507FD5" w:rsidP="00E410CD">
            <w:pPr>
              <w:jc w:val="center"/>
            </w:pPr>
            <w:r>
              <w:rPr>
                <w:rFonts w:hint="eastAsia"/>
              </w:rPr>
              <w:t>0.0167556</w:t>
            </w:r>
          </w:p>
        </w:tc>
      </w:tr>
      <w:tr w:rsidR="00E410CD" w:rsidRPr="00E410CD" w14:paraId="526AD7F2" w14:textId="77777777" w:rsidTr="003D32D1">
        <w:trPr>
          <w:divId w:val="1663579078"/>
          <w:trHeight w:val="270"/>
          <w:jc w:val="center"/>
        </w:trPr>
        <w:tc>
          <w:tcPr>
            <w:tcW w:w="1080" w:type="dxa"/>
            <w:noWrap/>
            <w:hideMark/>
          </w:tcPr>
          <w:p w14:paraId="445B4726" w14:textId="77777777" w:rsidR="00E410CD" w:rsidRPr="00E410CD" w:rsidRDefault="00E410CD" w:rsidP="00E410CD">
            <w:pPr>
              <w:jc w:val="center"/>
            </w:pPr>
            <w:r w:rsidRPr="00E410CD">
              <w:rPr>
                <w:rFonts w:hint="eastAsia"/>
              </w:rPr>
              <w:t>_cons</w:t>
            </w:r>
          </w:p>
        </w:tc>
        <w:tc>
          <w:tcPr>
            <w:tcW w:w="1400" w:type="dxa"/>
            <w:noWrap/>
          </w:tcPr>
          <w:p w14:paraId="7CC551B2" w14:textId="77777777" w:rsidR="00E410CD" w:rsidRPr="00E410CD" w:rsidRDefault="00507FD5" w:rsidP="00E410CD">
            <w:pPr>
              <w:jc w:val="center"/>
            </w:pPr>
            <w:r>
              <w:rPr>
                <w:rFonts w:hint="eastAsia"/>
              </w:rPr>
              <w:t>0.0026461</w:t>
            </w:r>
          </w:p>
        </w:tc>
        <w:tc>
          <w:tcPr>
            <w:tcW w:w="1260" w:type="dxa"/>
            <w:noWrap/>
          </w:tcPr>
          <w:p w14:paraId="38DC1226" w14:textId="77777777" w:rsidR="00E410CD" w:rsidRPr="00E410CD" w:rsidRDefault="00507FD5" w:rsidP="00E410CD">
            <w:pPr>
              <w:jc w:val="center"/>
            </w:pPr>
            <w:r>
              <w:rPr>
                <w:rFonts w:hint="eastAsia"/>
              </w:rPr>
              <w:t>0.0037565</w:t>
            </w:r>
          </w:p>
        </w:tc>
        <w:tc>
          <w:tcPr>
            <w:tcW w:w="1260" w:type="dxa"/>
            <w:noWrap/>
          </w:tcPr>
          <w:p w14:paraId="6DB118A3" w14:textId="77777777" w:rsidR="00E410CD" w:rsidRPr="00E410CD" w:rsidRDefault="00507FD5" w:rsidP="00E410CD">
            <w:pPr>
              <w:jc w:val="center"/>
            </w:pPr>
            <w:r>
              <w:rPr>
                <w:rFonts w:hint="eastAsia"/>
              </w:rPr>
              <w:t>0.7</w:t>
            </w:r>
          </w:p>
        </w:tc>
        <w:tc>
          <w:tcPr>
            <w:tcW w:w="1400" w:type="dxa"/>
            <w:noWrap/>
          </w:tcPr>
          <w:p w14:paraId="3E0B2771" w14:textId="77777777" w:rsidR="00E410CD" w:rsidRPr="00E410CD" w:rsidRDefault="00507FD5" w:rsidP="00E410CD">
            <w:pPr>
              <w:jc w:val="center"/>
            </w:pPr>
            <w:r>
              <w:rPr>
                <w:rFonts w:hint="eastAsia"/>
              </w:rPr>
              <w:t>0.49</w:t>
            </w:r>
          </w:p>
        </w:tc>
        <w:tc>
          <w:tcPr>
            <w:tcW w:w="1400" w:type="dxa"/>
            <w:noWrap/>
          </w:tcPr>
          <w:p w14:paraId="4CF4E833" w14:textId="77777777" w:rsidR="00E410CD" w:rsidRPr="00E410CD" w:rsidRDefault="00507FD5" w:rsidP="00E410CD">
            <w:pPr>
              <w:jc w:val="center"/>
            </w:pPr>
            <w:r>
              <w:rPr>
                <w:rFonts w:hint="eastAsia"/>
              </w:rPr>
              <w:t>-0.005246</w:t>
            </w:r>
          </w:p>
        </w:tc>
        <w:tc>
          <w:tcPr>
            <w:tcW w:w="1260" w:type="dxa"/>
            <w:noWrap/>
          </w:tcPr>
          <w:p w14:paraId="6A7CD7AC" w14:textId="77777777" w:rsidR="00E410CD" w:rsidRPr="00E410CD" w:rsidRDefault="00507FD5" w:rsidP="00E410CD">
            <w:pPr>
              <w:jc w:val="center"/>
            </w:pPr>
            <w:r>
              <w:rPr>
                <w:rFonts w:hint="eastAsia"/>
              </w:rPr>
              <w:t>0.0105382</w:t>
            </w:r>
          </w:p>
        </w:tc>
      </w:tr>
    </w:tbl>
    <w:p w14:paraId="67EB3F6B" w14:textId="1E8D716C" w:rsidR="001B6DD9" w:rsidRDefault="001B6DD9" w:rsidP="001B6DD9">
      <w:pPr>
        <w:jc w:val="center"/>
      </w:pPr>
      <w:r>
        <w:fldChar w:fldCharType="end"/>
      </w:r>
      <w:r>
        <w:rPr>
          <w:rFonts w:hint="eastAsia"/>
        </w:rPr>
        <w:t>表</w:t>
      </w:r>
      <w:r w:rsidR="007F7131">
        <w:rPr>
          <w:rFonts w:hint="eastAsia"/>
        </w:rPr>
        <w:t>6</w:t>
      </w:r>
      <w:r>
        <w:rPr>
          <w:rFonts w:hint="eastAsia"/>
        </w:rPr>
        <w:t xml:space="preserve">　回帰分析の結果</w:t>
      </w:r>
    </w:p>
    <w:p w14:paraId="46ECEA46" w14:textId="77777777" w:rsidR="002B1EE1" w:rsidRDefault="002B1EE1" w:rsidP="002B1EE1"/>
    <w:p w14:paraId="09E469AE" w14:textId="2E064442" w:rsidR="002B1EE1" w:rsidRPr="002B1EE1" w:rsidRDefault="001313F8" w:rsidP="0036228D">
      <w:pPr>
        <w:ind w:firstLineChars="100" w:firstLine="210"/>
      </w:pPr>
      <w:r>
        <w:rPr>
          <w:rFonts w:hint="eastAsia"/>
        </w:rPr>
        <w:t>表</w:t>
      </w:r>
      <w:r w:rsidR="007F7131">
        <w:rPr>
          <w:rFonts w:hint="eastAsia"/>
        </w:rPr>
        <w:t>6</w:t>
      </w:r>
      <w:r>
        <w:rPr>
          <w:rFonts w:hint="eastAsia"/>
        </w:rPr>
        <w:t>より</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oMath>
      <w:r w:rsidR="002B1EE1">
        <w:rPr>
          <w:rFonts w:hint="eastAsia"/>
        </w:rPr>
        <w:t>の係数は有意でなく、また、符号も期待されたものと異なっている。したがって、単に民営化をおこなっただけでは、ガス販売量１単位あたりの費用を低下する効果はないと考えられる。</w:t>
      </w:r>
      <w:r w:rsidR="00CC1F18">
        <w:rPr>
          <w:rFonts w:hint="eastAsia"/>
        </w:rPr>
        <w:t>販売区域が規制されるガス事業では、</w:t>
      </w:r>
      <w:r w:rsidR="009D3F75">
        <w:rPr>
          <w:rFonts w:hint="eastAsia"/>
        </w:rPr>
        <w:t>仮説で示した通り、</w:t>
      </w:r>
      <w:r w:rsidR="00CC1F18">
        <w:rPr>
          <w:rFonts w:hint="eastAsia"/>
        </w:rPr>
        <w:t>民営化によって｢規模の経済｣の効果が発現すれば、まず単位供給費用の低下に繋がると考えられる。しかし本分析では</w:t>
      </w:r>
      <w:r w:rsidR="009D3F75">
        <w:rPr>
          <w:rFonts w:hint="eastAsia"/>
        </w:rPr>
        <w:t>仮説と異なり</w:t>
      </w:r>
      <w:r w:rsidR="00CC1F18">
        <w:rPr>
          <w:rFonts w:hint="eastAsia"/>
        </w:rPr>
        <w:t>、</w:t>
      </w:r>
      <w:r w:rsidR="005D19FD">
        <w:rPr>
          <w:rFonts w:hint="eastAsia"/>
        </w:rPr>
        <w:t>民営化によって直接的には単位あたり費用は低下しないことが分かった</w:t>
      </w:r>
      <w:r w:rsidR="00CC1F18">
        <w:rPr>
          <w:rFonts w:hint="eastAsia"/>
        </w:rPr>
        <w:t>。</w:t>
      </w:r>
    </w:p>
    <w:p w14:paraId="1AB7016B" w14:textId="77777777" w:rsidR="00A60AB7" w:rsidRPr="005D19FD" w:rsidRDefault="00A60AB7"/>
    <w:p w14:paraId="79BE2B1A" w14:textId="77777777" w:rsidR="00B834FF" w:rsidRDefault="00271FE9" w:rsidP="00AC5538">
      <w:r>
        <w:rPr>
          <w:rFonts w:hint="eastAsia"/>
        </w:rPr>
        <w:t>2-6</w:t>
      </w:r>
      <w:r w:rsidR="00D70A27">
        <w:rPr>
          <w:rFonts w:hint="eastAsia"/>
        </w:rPr>
        <w:t xml:space="preserve">-2. </w:t>
      </w:r>
      <w:r w:rsidR="002B1EE1">
        <w:rPr>
          <w:rFonts w:hint="eastAsia"/>
        </w:rPr>
        <w:t>経常利益に対する民営化の影響の分析</w:t>
      </w:r>
    </w:p>
    <w:p w14:paraId="0F887E5B" w14:textId="77777777" w:rsidR="00AC5538" w:rsidRDefault="002B1EE1" w:rsidP="00B834FF">
      <w:pPr>
        <w:ind w:firstLineChars="100" w:firstLine="210"/>
      </w:pPr>
      <w:r>
        <w:rPr>
          <w:rFonts w:hint="eastAsia"/>
        </w:rPr>
        <w:t>続いて、前節と同様の手法を用いて、民営化の経常利益に対する影響を分析する。ガス事業の民営化は経営効率化を達成し、経常利益が</w:t>
      </w:r>
      <w:r w:rsidR="00D47FB0">
        <w:rPr>
          <w:rFonts w:hint="eastAsia"/>
        </w:rPr>
        <w:t>増加</w:t>
      </w:r>
      <w:r>
        <w:rPr>
          <w:rFonts w:hint="eastAsia"/>
        </w:rPr>
        <w:t>すると思われる。</w:t>
      </w:r>
      <w:r w:rsidR="00AE3A44">
        <w:rPr>
          <w:rFonts w:hint="eastAsia"/>
        </w:rPr>
        <w:t>そこで前節と同様の</w:t>
      </w:r>
      <w:r>
        <w:rPr>
          <w:rFonts w:hint="eastAsia"/>
        </w:rPr>
        <w:t>説明変数</w:t>
      </w:r>
      <w:r w:rsidR="00AE3A44">
        <w:rPr>
          <w:rFonts w:hint="eastAsia"/>
        </w:rPr>
        <w:t>を</w:t>
      </w:r>
      <w:r>
        <w:rPr>
          <w:rFonts w:hint="eastAsia"/>
        </w:rPr>
        <w:t>用い</w:t>
      </w:r>
      <w:r w:rsidR="00AE3A44">
        <w:rPr>
          <w:rFonts w:hint="eastAsia"/>
        </w:rPr>
        <w:t>て、回帰分析を行った</w:t>
      </w:r>
      <w:r>
        <w:rPr>
          <w:rFonts w:hint="eastAsia"/>
        </w:rPr>
        <w:t>。</w:t>
      </w:r>
      <w:r w:rsidR="00AE3A44">
        <w:rPr>
          <w:rFonts w:hint="eastAsia"/>
        </w:rPr>
        <w:t>なお</w:t>
      </w:r>
      <w:r>
        <w:rPr>
          <w:rFonts w:hint="eastAsia"/>
        </w:rPr>
        <w:t>被説明変数は『ガス事業年報』における経常利益をガス販売量で割った、</w:t>
      </w:r>
      <w:r>
        <w:rPr>
          <w:rFonts w:hint="eastAsia"/>
        </w:rPr>
        <w:t>1</w:t>
      </w:r>
      <w:r>
        <w:rPr>
          <w:rFonts w:hint="eastAsia"/>
        </w:rPr>
        <w:t>単位あたりの経常利益を用いた。</w:t>
      </w:r>
    </w:p>
    <w:p w14:paraId="026430EB" w14:textId="25BA42F5" w:rsidR="002B1EE1" w:rsidRPr="00B648E4" w:rsidRDefault="00AE3A44" w:rsidP="001225E2">
      <w:pPr>
        <w:ind w:firstLineChars="100" w:firstLine="210"/>
      </w:pPr>
      <w:r w:rsidRPr="00B648E4">
        <w:t>ここで</w:t>
      </w:r>
      <w:r w:rsidRPr="00B648E4">
        <w:t>DID</w:t>
      </w:r>
      <w:r w:rsidRPr="00B648E4">
        <w:t>法を使うためにハウスマン検定を行い、固定効果モデルと変量効果モデルのどちらを採択すべきか、検証した。その結果、</w:t>
      </w:r>
      <w:r w:rsidRPr="00B648E4">
        <w:rPr>
          <w:rFonts w:cs="Segoe UI Symbol"/>
        </w:rPr>
        <w:t>x</w:t>
      </w:r>
      <w:r w:rsidRPr="00B648E4">
        <w:rPr>
          <w:rFonts w:cs="Segoe UI Symbol"/>
          <w:vertAlign w:val="superscript"/>
        </w:rPr>
        <w:t>2</w:t>
      </w:r>
      <w:r w:rsidRPr="00B648E4">
        <w:rPr>
          <w:rFonts w:cs="Segoe UI Symbol"/>
        </w:rPr>
        <w:t>(</w:t>
      </w:r>
      <w:proofErr w:type="spellStart"/>
      <w:r w:rsidRPr="00B648E4">
        <w:rPr>
          <w:rFonts w:cs="Segoe UI Symbol"/>
        </w:rPr>
        <w:t>d.f.</w:t>
      </w:r>
      <w:proofErr w:type="spellEnd"/>
      <w:r w:rsidRPr="00B648E4">
        <w:rPr>
          <w:rFonts w:cs="Segoe UI Symbol"/>
        </w:rPr>
        <w:t>=3)=3.9; p=0.2722</w:t>
      </w:r>
      <w:r w:rsidRPr="00B648E4">
        <w:rPr>
          <w:rFonts w:cs="Segoe UI Symbol"/>
        </w:rPr>
        <w:t>であった。この結果から、</w:t>
      </w:r>
      <w:r w:rsidR="005D19FD" w:rsidRPr="00B648E4">
        <w:rPr>
          <w:rFonts w:cs="Segoe UI Symbol"/>
        </w:rPr>
        <w:t>2-6-1</w:t>
      </w:r>
      <w:r w:rsidR="00A80459">
        <w:rPr>
          <w:rFonts w:cs="Segoe UI Symbol"/>
        </w:rPr>
        <w:t>の分析と比較して有意水準は低い</w:t>
      </w:r>
      <w:r w:rsidR="00A80459">
        <w:rPr>
          <w:rFonts w:cs="Segoe UI Symbol" w:hint="eastAsia"/>
        </w:rPr>
        <w:t>ものの</w:t>
      </w:r>
      <w:r w:rsidR="00FF114A" w:rsidRPr="00B648E4">
        <w:rPr>
          <w:rFonts w:cs="Segoe UI Symbol"/>
        </w:rPr>
        <w:t>、</w:t>
      </w:r>
      <w:r w:rsidR="00A80459">
        <w:rPr>
          <w:rFonts w:cs="Segoe UI Symbol" w:hint="eastAsia"/>
        </w:rPr>
        <w:t>依然として</w:t>
      </w:r>
      <w:r w:rsidR="00A80459">
        <w:rPr>
          <w:rFonts w:cs="Segoe UI Symbol"/>
        </w:rPr>
        <w:t>固定効果モデル</w:t>
      </w:r>
      <w:r w:rsidR="00A80459">
        <w:rPr>
          <w:rFonts w:cs="Segoe UI Symbol" w:hint="eastAsia"/>
        </w:rPr>
        <w:t>を用いることが出来ると</w:t>
      </w:r>
      <w:r w:rsidR="00FF114A" w:rsidRPr="00B648E4">
        <w:rPr>
          <w:rFonts w:cs="Segoe UI Symbol"/>
        </w:rPr>
        <w:t>判断した</w:t>
      </w:r>
      <w:r w:rsidRPr="00B648E4">
        <w:rPr>
          <w:rFonts w:cs="Segoe UI Symbol"/>
        </w:rPr>
        <w:t>。そして</w:t>
      </w:r>
      <w:r w:rsidRPr="00B648E4">
        <w:rPr>
          <w:rFonts w:cs="Segoe UI Symbol"/>
        </w:rPr>
        <w:t>DID</w:t>
      </w:r>
      <w:r w:rsidRPr="00B648E4">
        <w:rPr>
          <w:rFonts w:cs="Segoe UI Symbol"/>
        </w:rPr>
        <w:t>法</w:t>
      </w:r>
      <w:r w:rsidR="005D19FD" w:rsidRPr="00B648E4">
        <w:rPr>
          <w:rFonts w:cs="Segoe UI Symbol"/>
        </w:rPr>
        <w:t>を用いて分析した</w:t>
      </w:r>
      <w:r w:rsidR="00FF114A" w:rsidRPr="00B648E4">
        <w:rPr>
          <w:rFonts w:cs="Segoe UI Symbol"/>
        </w:rPr>
        <w:t>。</w:t>
      </w:r>
    </w:p>
    <w:p w14:paraId="58B56243" w14:textId="77777777" w:rsidR="002B1EE1" w:rsidRPr="005D19FD" w:rsidRDefault="002B1EE1" w:rsidP="002B1EE1"/>
    <w:p w14:paraId="41879BB4" w14:textId="77777777" w:rsidR="002B1EE1" w:rsidRPr="00E93382" w:rsidRDefault="002B1EE1" w:rsidP="002B1EE1">
      <w:pPr>
        <w:jc w:val="center"/>
      </w:pPr>
      <m:oMath>
        <m:r>
          <m:rPr>
            <m:sty m:val="p"/>
          </m:rPr>
          <w:rPr>
            <w:rFonts w:ascii="Cambria Math" w:hAnsi="Cambria Math"/>
          </w:rPr>
          <m:t>Δ</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×dP+</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dJ</m:t>
            </m:r>
          </m:e>
          <m:sub>
            <m:r>
              <m:rPr>
                <m:sty m:val="p"/>
              </m:rPr>
              <w:rPr>
                <w:rFonts w:ascii="Cambria Math" w:hAnsi="Cambria Math"/>
              </w:rPr>
              <m:t>i</m:t>
            </m:r>
          </m:sub>
        </m:sSub>
        <m:r>
          <m:rPr>
            <m:sty m:val="p"/>
          </m:rPr>
          <w:rPr>
            <w:rFonts w:ascii="Cambria Math" w:hAnsi="Cambria Math"/>
          </w:rPr>
          <m:t>+Δ</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oMath>
      <w:r>
        <w:rPr>
          <w:rFonts w:hint="eastAsia"/>
        </w:rPr>
        <w:t xml:space="preserve">　</w:t>
      </w:r>
      <w:r>
        <w:rPr>
          <w:rFonts w:hint="eastAsia"/>
        </w:rPr>
        <w:t>(</w:t>
      </w:r>
      <w:proofErr w:type="spellStart"/>
      <w:r>
        <w:rPr>
          <w:rFonts w:hint="eastAsia"/>
        </w:rPr>
        <w:t>i</w:t>
      </w:r>
      <w:proofErr w:type="spellEnd"/>
      <w:r>
        <w:rPr>
          <w:rFonts w:hint="eastAsia"/>
        </w:rPr>
        <w:t xml:space="preserve"> = 1,2, .., 21, t = 0, 1)</w:t>
      </w:r>
    </w:p>
    <w:p w14:paraId="0A6D206F" w14:textId="77777777" w:rsidR="002B1EE1" w:rsidRDefault="002B1EE1" w:rsidP="002B1EE1"/>
    <w:p w14:paraId="17820636" w14:textId="77777777" w:rsidR="002B1EE1" w:rsidRPr="000D2A7B" w:rsidRDefault="00574EF3" w:rsidP="002B1EE1">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oMath>
      <w:r w:rsidR="002B1EE1">
        <w:rPr>
          <w:rFonts w:hint="eastAsia"/>
        </w:rPr>
        <w:t>：ガス販売量１単位あたり経常利益</w:t>
      </w:r>
    </w:p>
    <w:p w14:paraId="72350ED2" w14:textId="77777777" w:rsidR="002B1EE1" w:rsidRDefault="00574EF3" w:rsidP="002B1EE1">
      <m:oMath>
        <m:sSub>
          <m:sSubPr>
            <m:ctrlPr>
              <w:rPr>
                <w:rFonts w:ascii="Cambria Math" w:hAnsi="Cambria Math"/>
              </w:rPr>
            </m:ctrlPr>
          </m:sSubPr>
          <m:e>
            <m:r>
              <m:rPr>
                <m:sty m:val="p"/>
              </m:rPr>
              <w:rPr>
                <w:rFonts w:ascii="Cambria Math" w:hAnsi="Cambria Math"/>
              </w:rPr>
              <m:t>dP</m:t>
            </m:r>
          </m:e>
          <m:sub>
            <m:r>
              <m:rPr>
                <m:sty m:val="p"/>
              </m:rPr>
              <w:rPr>
                <w:rFonts w:ascii="Cambria Math" w:hAnsi="Cambria Math"/>
              </w:rPr>
              <m:t>i</m:t>
            </m:r>
          </m:sub>
        </m:sSub>
      </m:oMath>
      <w:r w:rsidR="002B1EE1">
        <w:rPr>
          <w:rFonts w:hint="eastAsia"/>
        </w:rPr>
        <w:t>：民営化ダミー</w:t>
      </w:r>
    </w:p>
    <w:p w14:paraId="788679E2" w14:textId="77777777" w:rsidR="002B1EE1" w:rsidRDefault="00574EF3" w:rsidP="002B1EE1">
      <m:oMath>
        <m:sSub>
          <m:sSubPr>
            <m:ctrlPr>
              <w:rPr>
                <w:rFonts w:ascii="Cambria Math" w:hAnsi="Cambria Math"/>
              </w:rPr>
            </m:ctrlPr>
          </m:sSubPr>
          <m:e>
            <m:r>
              <m:rPr>
                <m:sty m:val="p"/>
              </m:rPr>
              <w:rPr>
                <w:rFonts w:ascii="Cambria Math" w:hAnsi="Cambria Math"/>
              </w:rPr>
              <m:t>dJ</m:t>
            </m:r>
          </m:e>
          <m:sub>
            <m:r>
              <m:rPr>
                <m:sty m:val="p"/>
              </m:rPr>
              <w:rPr>
                <w:rFonts w:ascii="Cambria Math" w:hAnsi="Cambria Math"/>
              </w:rPr>
              <m:t>it</m:t>
            </m:r>
          </m:sub>
        </m:sSub>
      </m:oMath>
      <w:r w:rsidR="002B1EE1">
        <w:rPr>
          <w:rFonts w:hint="eastAsia"/>
        </w:rPr>
        <w:t>：熱量ダミー</w:t>
      </w:r>
    </w:p>
    <w:p w14:paraId="59FECD02" w14:textId="77777777" w:rsidR="002B1EE1" w:rsidRDefault="00574EF3" w:rsidP="001313F8">
      <w:pPr>
        <w:tabs>
          <w:tab w:val="left" w:pos="7305"/>
        </w:tabs>
      </w:p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oMath>
      <w:r w:rsidR="002B1EE1">
        <w:rPr>
          <w:rFonts w:hint="eastAsia"/>
        </w:rPr>
        <w:t>：固定効果</w:t>
      </w:r>
    </w:p>
    <w:p w14:paraId="1F0BB3F3" w14:textId="77777777" w:rsidR="002B1EE1" w:rsidRPr="00E93382" w:rsidRDefault="002B1EE1" w:rsidP="002B1EE1"/>
    <w:p w14:paraId="1F032C2C" w14:textId="77777777" w:rsidR="002B1EE1" w:rsidRDefault="002B1EE1" w:rsidP="002B1EE1">
      <w:r>
        <w:rPr>
          <w:rFonts w:hint="eastAsia"/>
        </w:rPr>
        <w:t xml:space="preserve">　この回帰式を</w:t>
      </w:r>
      <w:proofErr w:type="spellStart"/>
      <w:r>
        <w:rPr>
          <w:rFonts w:hint="eastAsia"/>
        </w:rPr>
        <w:t>stata</w:t>
      </w:r>
      <w:proofErr w:type="spellEnd"/>
      <w:r>
        <w:rPr>
          <w:rFonts w:hint="eastAsia"/>
        </w:rPr>
        <w:t>を用いて分析した結果は、以下の通りである。</w:t>
      </w:r>
    </w:p>
    <w:p w14:paraId="57C264FB" w14:textId="77777777" w:rsidR="00E410CD" w:rsidRDefault="002B1EE1" w:rsidP="00E410CD">
      <w:r>
        <w:fldChar w:fldCharType="begin"/>
      </w:r>
      <w:r>
        <w:instrText xml:space="preserve"> </w:instrText>
      </w:r>
      <w:r>
        <w:rPr>
          <w:rFonts w:hint="eastAsia"/>
        </w:rPr>
        <w:instrText xml:space="preserve">LINK </w:instrText>
      </w:r>
      <w:r w:rsidR="00E410CD">
        <w:instrText>Excel.Sheet.12</w:instrText>
      </w:r>
      <w:r w:rsidR="00E410CD">
        <w:rPr>
          <w:rFonts w:hint="eastAsia"/>
        </w:rPr>
        <w:instrText xml:space="preserve"> "C:\\Users\\Owner\\Desktop\\DID</w:instrText>
      </w:r>
      <w:r w:rsidR="00E410CD">
        <w:rPr>
          <w:rFonts w:hint="eastAsia"/>
        </w:rPr>
        <w:instrText xml:space="preserve">　元データ</w:instrText>
      </w:r>
      <w:r w:rsidR="00E410CD">
        <w:rPr>
          <w:rFonts w:hint="eastAsia"/>
        </w:rPr>
        <w:instrText xml:space="preserve"> (2).xlsx" </w:instrText>
      </w:r>
      <w:r w:rsidR="00E410CD">
        <w:rPr>
          <w:rFonts w:hint="eastAsia"/>
        </w:rPr>
        <w:instrText>レポート用</w:instrText>
      </w:r>
      <w:r w:rsidR="00E410CD">
        <w:rPr>
          <w:rFonts w:hint="eastAsia"/>
        </w:rPr>
        <w:instrText xml:space="preserve">!R2C1:R5C6 </w:instrText>
      </w:r>
      <w:r>
        <w:rPr>
          <w:rFonts w:hint="eastAsia"/>
        </w:rPr>
        <w:instrText>\a \f 5 \h</w:instrText>
      </w:r>
      <w:r>
        <w:instrText xml:space="preserve">  \* MERGEFORMAT </w:instrText>
      </w:r>
      <w:r>
        <w:fldChar w:fldCharType="separate"/>
      </w:r>
    </w:p>
    <w:tbl>
      <w:tblPr>
        <w:tblStyle w:val="af"/>
        <w:tblW w:w="6660" w:type="dxa"/>
        <w:jc w:val="center"/>
        <w:tblLook w:val="04A0" w:firstRow="1" w:lastRow="0" w:firstColumn="1" w:lastColumn="0" w:noHBand="0" w:noVBand="1"/>
      </w:tblPr>
      <w:tblGrid>
        <w:gridCol w:w="1030"/>
        <w:gridCol w:w="594"/>
        <w:gridCol w:w="1260"/>
        <w:gridCol w:w="1260"/>
        <w:gridCol w:w="1400"/>
        <w:gridCol w:w="1260"/>
      </w:tblGrid>
      <w:tr w:rsidR="00E410CD" w:rsidRPr="00E410CD" w14:paraId="280D97CA" w14:textId="77777777" w:rsidTr="00E410CD">
        <w:trPr>
          <w:divId w:val="1253468645"/>
          <w:trHeight w:val="270"/>
          <w:jc w:val="center"/>
        </w:trPr>
        <w:tc>
          <w:tcPr>
            <w:tcW w:w="920" w:type="dxa"/>
            <w:noWrap/>
            <w:hideMark/>
          </w:tcPr>
          <w:p w14:paraId="57A8D895" w14:textId="77777777" w:rsidR="00E410CD" w:rsidRPr="00E410CD" w:rsidRDefault="00E410CD" w:rsidP="00E410CD">
            <w:pPr>
              <w:jc w:val="center"/>
            </w:pPr>
            <w:r w:rsidRPr="00E410CD">
              <w:rPr>
                <w:rFonts w:hint="eastAsia"/>
              </w:rPr>
              <w:t>Variable</w:t>
            </w:r>
          </w:p>
        </w:tc>
        <w:tc>
          <w:tcPr>
            <w:tcW w:w="560" w:type="dxa"/>
            <w:noWrap/>
            <w:hideMark/>
          </w:tcPr>
          <w:p w14:paraId="0389BF73" w14:textId="77777777" w:rsidR="00E410CD" w:rsidRPr="00E410CD" w:rsidRDefault="00E410CD" w:rsidP="00E410CD">
            <w:pPr>
              <w:jc w:val="center"/>
            </w:pPr>
            <w:proofErr w:type="spellStart"/>
            <w:r w:rsidRPr="00E410CD">
              <w:rPr>
                <w:rFonts w:hint="eastAsia"/>
              </w:rPr>
              <w:t>Obs</w:t>
            </w:r>
            <w:proofErr w:type="spellEnd"/>
          </w:p>
        </w:tc>
        <w:tc>
          <w:tcPr>
            <w:tcW w:w="1260" w:type="dxa"/>
            <w:noWrap/>
            <w:hideMark/>
          </w:tcPr>
          <w:p w14:paraId="568240CB" w14:textId="77777777" w:rsidR="00E410CD" w:rsidRPr="00E410CD" w:rsidRDefault="00E410CD" w:rsidP="00E410CD">
            <w:pPr>
              <w:jc w:val="center"/>
            </w:pPr>
            <w:r w:rsidRPr="00E410CD">
              <w:rPr>
                <w:rFonts w:hint="eastAsia"/>
              </w:rPr>
              <w:t>Mean</w:t>
            </w:r>
          </w:p>
        </w:tc>
        <w:tc>
          <w:tcPr>
            <w:tcW w:w="1260" w:type="dxa"/>
            <w:noWrap/>
            <w:hideMark/>
          </w:tcPr>
          <w:p w14:paraId="5DFC976B" w14:textId="77777777" w:rsidR="00E410CD" w:rsidRPr="00E410CD" w:rsidRDefault="00E410CD" w:rsidP="00E410CD">
            <w:pPr>
              <w:jc w:val="center"/>
            </w:pPr>
            <w:r w:rsidRPr="00E410CD">
              <w:rPr>
                <w:rFonts w:hint="eastAsia"/>
              </w:rPr>
              <w:t>Std. Dev.</w:t>
            </w:r>
          </w:p>
        </w:tc>
        <w:tc>
          <w:tcPr>
            <w:tcW w:w="1400" w:type="dxa"/>
            <w:noWrap/>
            <w:hideMark/>
          </w:tcPr>
          <w:p w14:paraId="3E49BE63" w14:textId="77777777" w:rsidR="00E410CD" w:rsidRPr="00E410CD" w:rsidRDefault="00E410CD" w:rsidP="00E410CD">
            <w:pPr>
              <w:jc w:val="center"/>
            </w:pPr>
            <w:r w:rsidRPr="00E410CD">
              <w:rPr>
                <w:rFonts w:hint="eastAsia"/>
              </w:rPr>
              <w:t>Min</w:t>
            </w:r>
          </w:p>
        </w:tc>
        <w:tc>
          <w:tcPr>
            <w:tcW w:w="1260" w:type="dxa"/>
            <w:noWrap/>
            <w:hideMark/>
          </w:tcPr>
          <w:p w14:paraId="2E199FA0" w14:textId="77777777" w:rsidR="00E410CD" w:rsidRPr="00E410CD" w:rsidRDefault="00E410CD" w:rsidP="00E410CD">
            <w:pPr>
              <w:jc w:val="center"/>
            </w:pPr>
            <w:r w:rsidRPr="00E410CD">
              <w:rPr>
                <w:rFonts w:hint="eastAsia"/>
              </w:rPr>
              <w:t>Max</w:t>
            </w:r>
          </w:p>
        </w:tc>
      </w:tr>
      <w:tr w:rsidR="00E410CD" w:rsidRPr="00E410CD" w14:paraId="57413341" w14:textId="77777777" w:rsidTr="00E410CD">
        <w:trPr>
          <w:divId w:val="1253468645"/>
          <w:trHeight w:val="270"/>
          <w:jc w:val="center"/>
        </w:trPr>
        <w:tc>
          <w:tcPr>
            <w:tcW w:w="920" w:type="dxa"/>
            <w:noWrap/>
            <w:hideMark/>
          </w:tcPr>
          <w:p w14:paraId="2C84F1FB" w14:textId="77777777" w:rsidR="00E410CD" w:rsidRPr="00E410CD" w:rsidRDefault="00E410CD" w:rsidP="00E410CD">
            <w:pPr>
              <w:jc w:val="center"/>
            </w:pPr>
            <w:r w:rsidRPr="00E410CD">
              <w:rPr>
                <w:rFonts w:hint="eastAsia"/>
              </w:rPr>
              <w:t>y</w:t>
            </w:r>
          </w:p>
        </w:tc>
        <w:tc>
          <w:tcPr>
            <w:tcW w:w="560" w:type="dxa"/>
            <w:noWrap/>
            <w:hideMark/>
          </w:tcPr>
          <w:p w14:paraId="0343FC9C" w14:textId="77777777" w:rsidR="00E410CD" w:rsidRPr="00E410CD" w:rsidRDefault="00E410CD" w:rsidP="00E410CD">
            <w:pPr>
              <w:jc w:val="center"/>
            </w:pPr>
            <w:r w:rsidRPr="00E410CD">
              <w:rPr>
                <w:rFonts w:hint="eastAsia"/>
              </w:rPr>
              <w:t>21</w:t>
            </w:r>
          </w:p>
        </w:tc>
        <w:tc>
          <w:tcPr>
            <w:tcW w:w="1260" w:type="dxa"/>
            <w:noWrap/>
            <w:hideMark/>
          </w:tcPr>
          <w:p w14:paraId="623E98A7" w14:textId="77777777" w:rsidR="00E410CD" w:rsidRPr="00E410CD" w:rsidRDefault="00E410CD" w:rsidP="00E410CD">
            <w:pPr>
              <w:jc w:val="center"/>
            </w:pPr>
            <w:r w:rsidRPr="00E410CD">
              <w:rPr>
                <w:rFonts w:hint="eastAsia"/>
              </w:rPr>
              <w:t>-0.000188</w:t>
            </w:r>
          </w:p>
        </w:tc>
        <w:tc>
          <w:tcPr>
            <w:tcW w:w="1260" w:type="dxa"/>
            <w:noWrap/>
            <w:hideMark/>
          </w:tcPr>
          <w:p w14:paraId="1673306A" w14:textId="77777777" w:rsidR="00E410CD" w:rsidRPr="00E410CD" w:rsidRDefault="00E410CD" w:rsidP="00E410CD">
            <w:pPr>
              <w:jc w:val="center"/>
            </w:pPr>
            <w:r w:rsidRPr="00E410CD">
              <w:rPr>
                <w:rFonts w:hint="eastAsia"/>
              </w:rPr>
              <w:t>0.0016633</w:t>
            </w:r>
          </w:p>
        </w:tc>
        <w:tc>
          <w:tcPr>
            <w:tcW w:w="1400" w:type="dxa"/>
            <w:noWrap/>
            <w:hideMark/>
          </w:tcPr>
          <w:p w14:paraId="5C1512A5" w14:textId="77777777" w:rsidR="00E410CD" w:rsidRPr="00E410CD" w:rsidRDefault="00E410CD" w:rsidP="00E410CD">
            <w:pPr>
              <w:jc w:val="center"/>
            </w:pPr>
            <w:r w:rsidRPr="00E410CD">
              <w:rPr>
                <w:rFonts w:hint="eastAsia"/>
              </w:rPr>
              <w:t>-0.0030715</w:t>
            </w:r>
          </w:p>
        </w:tc>
        <w:tc>
          <w:tcPr>
            <w:tcW w:w="1260" w:type="dxa"/>
            <w:noWrap/>
            <w:hideMark/>
          </w:tcPr>
          <w:p w14:paraId="2F79305D" w14:textId="77777777" w:rsidR="00E410CD" w:rsidRPr="00E410CD" w:rsidRDefault="00E410CD" w:rsidP="00E410CD">
            <w:pPr>
              <w:jc w:val="center"/>
            </w:pPr>
            <w:r w:rsidRPr="00E410CD">
              <w:rPr>
                <w:rFonts w:hint="eastAsia"/>
              </w:rPr>
              <w:t>0.0034155</w:t>
            </w:r>
          </w:p>
        </w:tc>
      </w:tr>
      <w:tr w:rsidR="00E410CD" w:rsidRPr="00E410CD" w14:paraId="0EF8E615" w14:textId="77777777" w:rsidTr="00E410CD">
        <w:trPr>
          <w:divId w:val="1253468645"/>
          <w:trHeight w:val="270"/>
          <w:jc w:val="center"/>
        </w:trPr>
        <w:tc>
          <w:tcPr>
            <w:tcW w:w="920" w:type="dxa"/>
            <w:noWrap/>
            <w:hideMark/>
          </w:tcPr>
          <w:p w14:paraId="7B582BC9" w14:textId="77777777" w:rsidR="00E410CD" w:rsidRPr="00E410CD" w:rsidRDefault="00E410CD" w:rsidP="00E410CD">
            <w:pPr>
              <w:jc w:val="center"/>
            </w:pPr>
            <w:proofErr w:type="spellStart"/>
            <w:r w:rsidRPr="00E410CD">
              <w:rPr>
                <w:rFonts w:hint="eastAsia"/>
              </w:rPr>
              <w:t>dP</w:t>
            </w:r>
            <w:proofErr w:type="spellEnd"/>
          </w:p>
        </w:tc>
        <w:tc>
          <w:tcPr>
            <w:tcW w:w="560" w:type="dxa"/>
            <w:noWrap/>
            <w:hideMark/>
          </w:tcPr>
          <w:p w14:paraId="0094C2CC" w14:textId="77777777" w:rsidR="00E410CD" w:rsidRPr="00E410CD" w:rsidRDefault="00E410CD" w:rsidP="00E410CD">
            <w:pPr>
              <w:jc w:val="center"/>
            </w:pPr>
            <w:r w:rsidRPr="00E410CD">
              <w:rPr>
                <w:rFonts w:hint="eastAsia"/>
              </w:rPr>
              <w:t>21</w:t>
            </w:r>
          </w:p>
        </w:tc>
        <w:tc>
          <w:tcPr>
            <w:tcW w:w="1260" w:type="dxa"/>
            <w:noWrap/>
            <w:hideMark/>
          </w:tcPr>
          <w:p w14:paraId="6601BA7D" w14:textId="77777777" w:rsidR="00E410CD" w:rsidRPr="00E410CD" w:rsidRDefault="00E410CD" w:rsidP="00E410CD">
            <w:pPr>
              <w:jc w:val="center"/>
            </w:pPr>
            <w:r w:rsidRPr="00E410CD">
              <w:rPr>
                <w:rFonts w:hint="eastAsia"/>
              </w:rPr>
              <w:t>0.4761905</w:t>
            </w:r>
          </w:p>
        </w:tc>
        <w:tc>
          <w:tcPr>
            <w:tcW w:w="1260" w:type="dxa"/>
            <w:noWrap/>
            <w:hideMark/>
          </w:tcPr>
          <w:p w14:paraId="6B5C37F5" w14:textId="77777777" w:rsidR="00E410CD" w:rsidRPr="00E410CD" w:rsidRDefault="00E410CD" w:rsidP="00E410CD">
            <w:pPr>
              <w:jc w:val="center"/>
            </w:pPr>
            <w:r w:rsidRPr="00E410CD">
              <w:rPr>
                <w:rFonts w:hint="eastAsia"/>
              </w:rPr>
              <w:t>0.5117663</w:t>
            </w:r>
          </w:p>
        </w:tc>
        <w:tc>
          <w:tcPr>
            <w:tcW w:w="1400" w:type="dxa"/>
            <w:noWrap/>
            <w:hideMark/>
          </w:tcPr>
          <w:p w14:paraId="4BDBA28C" w14:textId="77777777" w:rsidR="00E410CD" w:rsidRPr="00E410CD" w:rsidRDefault="00E410CD" w:rsidP="00E410CD">
            <w:pPr>
              <w:jc w:val="center"/>
            </w:pPr>
            <w:r w:rsidRPr="00E410CD">
              <w:rPr>
                <w:rFonts w:hint="eastAsia"/>
              </w:rPr>
              <w:t>0</w:t>
            </w:r>
          </w:p>
        </w:tc>
        <w:tc>
          <w:tcPr>
            <w:tcW w:w="1260" w:type="dxa"/>
            <w:noWrap/>
            <w:hideMark/>
          </w:tcPr>
          <w:p w14:paraId="43F7A81B" w14:textId="77777777" w:rsidR="00E410CD" w:rsidRPr="00E410CD" w:rsidRDefault="00E410CD" w:rsidP="00E410CD">
            <w:pPr>
              <w:jc w:val="center"/>
            </w:pPr>
            <w:r w:rsidRPr="00E410CD">
              <w:rPr>
                <w:rFonts w:hint="eastAsia"/>
              </w:rPr>
              <w:t>1</w:t>
            </w:r>
          </w:p>
        </w:tc>
      </w:tr>
      <w:tr w:rsidR="00E410CD" w:rsidRPr="00E410CD" w14:paraId="0E126072" w14:textId="77777777" w:rsidTr="00E410CD">
        <w:trPr>
          <w:divId w:val="1253468645"/>
          <w:trHeight w:val="270"/>
          <w:jc w:val="center"/>
        </w:trPr>
        <w:tc>
          <w:tcPr>
            <w:tcW w:w="920" w:type="dxa"/>
            <w:noWrap/>
            <w:hideMark/>
          </w:tcPr>
          <w:p w14:paraId="7D9F7809" w14:textId="77777777" w:rsidR="00E410CD" w:rsidRPr="00E410CD" w:rsidRDefault="00E410CD" w:rsidP="00E410CD">
            <w:pPr>
              <w:jc w:val="center"/>
            </w:pPr>
            <w:proofErr w:type="spellStart"/>
            <w:r w:rsidRPr="00E410CD">
              <w:rPr>
                <w:rFonts w:hint="eastAsia"/>
              </w:rPr>
              <w:lastRenderedPageBreak/>
              <w:t>dJ</w:t>
            </w:r>
            <w:proofErr w:type="spellEnd"/>
          </w:p>
        </w:tc>
        <w:tc>
          <w:tcPr>
            <w:tcW w:w="560" w:type="dxa"/>
            <w:noWrap/>
            <w:hideMark/>
          </w:tcPr>
          <w:p w14:paraId="69CCEB40" w14:textId="77777777" w:rsidR="00E410CD" w:rsidRPr="00E410CD" w:rsidRDefault="00E410CD" w:rsidP="00E410CD">
            <w:pPr>
              <w:jc w:val="center"/>
            </w:pPr>
            <w:r w:rsidRPr="00E410CD">
              <w:rPr>
                <w:rFonts w:hint="eastAsia"/>
              </w:rPr>
              <w:t>21</w:t>
            </w:r>
          </w:p>
        </w:tc>
        <w:tc>
          <w:tcPr>
            <w:tcW w:w="1260" w:type="dxa"/>
            <w:noWrap/>
            <w:hideMark/>
          </w:tcPr>
          <w:p w14:paraId="7569EB5C" w14:textId="77777777" w:rsidR="00E410CD" w:rsidRPr="00E410CD" w:rsidRDefault="00E410CD" w:rsidP="00E410CD">
            <w:pPr>
              <w:jc w:val="center"/>
            </w:pPr>
            <w:r w:rsidRPr="00E410CD">
              <w:rPr>
                <w:rFonts w:hint="eastAsia"/>
              </w:rPr>
              <w:t>0.5714286</w:t>
            </w:r>
          </w:p>
        </w:tc>
        <w:tc>
          <w:tcPr>
            <w:tcW w:w="1260" w:type="dxa"/>
            <w:noWrap/>
            <w:hideMark/>
          </w:tcPr>
          <w:p w14:paraId="7B7724F3" w14:textId="77777777" w:rsidR="00E410CD" w:rsidRPr="00E410CD" w:rsidRDefault="00E410CD" w:rsidP="00E410CD">
            <w:pPr>
              <w:jc w:val="center"/>
            </w:pPr>
            <w:r w:rsidRPr="00E410CD">
              <w:rPr>
                <w:rFonts w:hint="eastAsia"/>
              </w:rPr>
              <w:t>0.5070926</w:t>
            </w:r>
          </w:p>
        </w:tc>
        <w:tc>
          <w:tcPr>
            <w:tcW w:w="1400" w:type="dxa"/>
            <w:noWrap/>
            <w:hideMark/>
          </w:tcPr>
          <w:p w14:paraId="24D17A49" w14:textId="77777777" w:rsidR="00E410CD" w:rsidRPr="00E410CD" w:rsidRDefault="00E410CD" w:rsidP="00E410CD">
            <w:pPr>
              <w:jc w:val="center"/>
            </w:pPr>
            <w:r w:rsidRPr="00E410CD">
              <w:rPr>
                <w:rFonts w:hint="eastAsia"/>
              </w:rPr>
              <w:t>0</w:t>
            </w:r>
          </w:p>
        </w:tc>
        <w:tc>
          <w:tcPr>
            <w:tcW w:w="1260" w:type="dxa"/>
            <w:noWrap/>
            <w:hideMark/>
          </w:tcPr>
          <w:p w14:paraId="134D0DAD" w14:textId="77777777" w:rsidR="00E410CD" w:rsidRPr="00E410CD" w:rsidRDefault="00E410CD" w:rsidP="00E410CD">
            <w:pPr>
              <w:jc w:val="center"/>
            </w:pPr>
            <w:r w:rsidRPr="00E410CD">
              <w:rPr>
                <w:rFonts w:hint="eastAsia"/>
              </w:rPr>
              <w:t>1</w:t>
            </w:r>
          </w:p>
        </w:tc>
      </w:tr>
    </w:tbl>
    <w:p w14:paraId="720AAA89" w14:textId="15D1FDDD" w:rsidR="002B1EE1" w:rsidRDefault="002B1EE1" w:rsidP="002B1EE1">
      <w:pPr>
        <w:jc w:val="center"/>
      </w:pPr>
      <w:r>
        <w:fldChar w:fldCharType="end"/>
      </w:r>
      <w:r>
        <w:rPr>
          <w:rFonts w:hint="eastAsia"/>
        </w:rPr>
        <w:t>表</w:t>
      </w:r>
      <w:r w:rsidR="007F7131">
        <w:rPr>
          <w:rFonts w:hint="eastAsia"/>
        </w:rPr>
        <w:t>7</w:t>
      </w:r>
      <w:r>
        <w:rPr>
          <w:rFonts w:hint="eastAsia"/>
        </w:rPr>
        <w:t xml:space="preserve"> </w:t>
      </w:r>
      <w:r>
        <w:rPr>
          <w:rFonts w:hint="eastAsia"/>
        </w:rPr>
        <w:t>基本統計量</w:t>
      </w:r>
    </w:p>
    <w:p w14:paraId="1E3D41A8" w14:textId="77777777" w:rsidR="00F52BA1" w:rsidRDefault="00F52BA1" w:rsidP="00F52BA1">
      <w:pPr>
        <w:jc w:val="left"/>
      </w:pPr>
    </w:p>
    <w:p w14:paraId="2F0C957C" w14:textId="77777777" w:rsidR="00E410CD" w:rsidRDefault="00F52BA1" w:rsidP="00E410CD">
      <w:pPr>
        <w:jc w:val="left"/>
      </w:pPr>
      <w:r>
        <w:t>N</w:t>
      </w:r>
      <w:r>
        <w:rPr>
          <w:rFonts w:hint="eastAsia"/>
        </w:rPr>
        <w:t>=21, adjusted R</w:t>
      </w:r>
      <w:r w:rsidRPr="00F52BA1">
        <w:rPr>
          <w:rFonts w:hint="eastAsia"/>
          <w:vertAlign w:val="superscript"/>
        </w:rPr>
        <w:t>2</w:t>
      </w:r>
      <w:r>
        <w:rPr>
          <w:rFonts w:hint="eastAsia"/>
        </w:rPr>
        <w:t>=</w:t>
      </w:r>
      <w:r w:rsidRPr="00F52BA1">
        <w:t>0.0965</w:t>
      </w:r>
      <w:r w:rsidR="002B1EE1">
        <w:fldChar w:fldCharType="begin"/>
      </w:r>
      <w:r w:rsidR="002B1EE1">
        <w:instrText xml:space="preserve"> </w:instrText>
      </w:r>
      <w:r w:rsidR="002B1EE1">
        <w:rPr>
          <w:rFonts w:hint="eastAsia"/>
        </w:rPr>
        <w:instrText xml:space="preserve">LINK </w:instrText>
      </w:r>
      <w:r w:rsidR="00E410CD">
        <w:instrText>Excel.Sheet.12</w:instrText>
      </w:r>
      <w:r w:rsidR="00E410CD">
        <w:rPr>
          <w:rFonts w:hint="eastAsia"/>
        </w:rPr>
        <w:instrText xml:space="preserve"> "C:\\Users\\Owner\\Desktop\\DID</w:instrText>
      </w:r>
      <w:r w:rsidR="00E410CD">
        <w:rPr>
          <w:rFonts w:hint="eastAsia"/>
        </w:rPr>
        <w:instrText xml:space="preserve">　元データ</w:instrText>
      </w:r>
      <w:r w:rsidR="00E410CD">
        <w:rPr>
          <w:rFonts w:hint="eastAsia"/>
        </w:rPr>
        <w:instrText xml:space="preserve"> (2).xlsx" </w:instrText>
      </w:r>
      <w:r w:rsidR="00E410CD">
        <w:rPr>
          <w:rFonts w:hint="eastAsia"/>
        </w:rPr>
        <w:instrText>レポート用</w:instrText>
      </w:r>
      <w:r w:rsidR="00E410CD">
        <w:rPr>
          <w:rFonts w:hint="eastAsia"/>
        </w:rPr>
        <w:instrText xml:space="preserve">!R7C1:R10C7 </w:instrText>
      </w:r>
      <w:r w:rsidR="002B1EE1">
        <w:rPr>
          <w:rFonts w:hint="eastAsia"/>
        </w:rPr>
        <w:instrText>\a \f 5 \h</w:instrText>
      </w:r>
      <w:r w:rsidR="002B1EE1">
        <w:instrText xml:space="preserve">  \* MERGEFORMAT </w:instrText>
      </w:r>
      <w:r w:rsidR="002B1EE1">
        <w:fldChar w:fldCharType="separate"/>
      </w:r>
    </w:p>
    <w:tbl>
      <w:tblPr>
        <w:tblStyle w:val="af"/>
        <w:tblW w:w="9060" w:type="dxa"/>
        <w:jc w:val="center"/>
        <w:tblLook w:val="04A0" w:firstRow="1" w:lastRow="0" w:firstColumn="1" w:lastColumn="0" w:noHBand="0" w:noVBand="1"/>
      </w:tblPr>
      <w:tblGrid>
        <w:gridCol w:w="1080"/>
        <w:gridCol w:w="1400"/>
        <w:gridCol w:w="1260"/>
        <w:gridCol w:w="1260"/>
        <w:gridCol w:w="1400"/>
        <w:gridCol w:w="1400"/>
        <w:gridCol w:w="1260"/>
      </w:tblGrid>
      <w:tr w:rsidR="00E410CD" w:rsidRPr="00E410CD" w14:paraId="3FA97645" w14:textId="77777777" w:rsidTr="00E410CD">
        <w:trPr>
          <w:divId w:val="997419577"/>
          <w:trHeight w:val="270"/>
          <w:jc w:val="center"/>
        </w:trPr>
        <w:tc>
          <w:tcPr>
            <w:tcW w:w="1080" w:type="dxa"/>
            <w:noWrap/>
            <w:hideMark/>
          </w:tcPr>
          <w:p w14:paraId="10CF8C84" w14:textId="77777777" w:rsidR="00E410CD" w:rsidRPr="00E410CD" w:rsidRDefault="00E410CD" w:rsidP="00E410CD">
            <w:pPr>
              <w:jc w:val="center"/>
            </w:pPr>
            <w:r w:rsidRPr="00E410CD">
              <w:rPr>
                <w:rFonts w:hint="eastAsia"/>
              </w:rPr>
              <w:t>経常利益</w:t>
            </w:r>
          </w:p>
        </w:tc>
        <w:tc>
          <w:tcPr>
            <w:tcW w:w="1400" w:type="dxa"/>
            <w:noWrap/>
            <w:hideMark/>
          </w:tcPr>
          <w:p w14:paraId="054E6EF6" w14:textId="77777777" w:rsidR="00E410CD" w:rsidRPr="00E410CD" w:rsidRDefault="00E410CD" w:rsidP="00E410CD">
            <w:pPr>
              <w:jc w:val="center"/>
            </w:pPr>
            <w:proofErr w:type="spellStart"/>
            <w:r w:rsidRPr="00E410CD">
              <w:rPr>
                <w:rFonts w:hint="eastAsia"/>
              </w:rPr>
              <w:t>Coef</w:t>
            </w:r>
            <w:proofErr w:type="spellEnd"/>
            <w:r w:rsidRPr="00E410CD">
              <w:rPr>
                <w:rFonts w:hint="eastAsia"/>
              </w:rPr>
              <w:t>.</w:t>
            </w:r>
          </w:p>
        </w:tc>
        <w:tc>
          <w:tcPr>
            <w:tcW w:w="1260" w:type="dxa"/>
            <w:noWrap/>
            <w:hideMark/>
          </w:tcPr>
          <w:p w14:paraId="2D038007" w14:textId="77777777" w:rsidR="00E410CD" w:rsidRPr="00E410CD" w:rsidRDefault="00E410CD" w:rsidP="00E410CD">
            <w:pPr>
              <w:jc w:val="center"/>
            </w:pPr>
            <w:r w:rsidRPr="00E410CD">
              <w:rPr>
                <w:rFonts w:hint="eastAsia"/>
              </w:rPr>
              <w:t>Std. Err.</w:t>
            </w:r>
          </w:p>
        </w:tc>
        <w:tc>
          <w:tcPr>
            <w:tcW w:w="1260" w:type="dxa"/>
            <w:noWrap/>
            <w:hideMark/>
          </w:tcPr>
          <w:p w14:paraId="7A5349E8" w14:textId="77777777" w:rsidR="00E410CD" w:rsidRPr="00E410CD" w:rsidRDefault="00E410CD" w:rsidP="00E410CD">
            <w:pPr>
              <w:jc w:val="center"/>
            </w:pPr>
            <w:r w:rsidRPr="00E410CD">
              <w:rPr>
                <w:rFonts w:hint="eastAsia"/>
              </w:rPr>
              <w:t>t</w:t>
            </w:r>
          </w:p>
        </w:tc>
        <w:tc>
          <w:tcPr>
            <w:tcW w:w="1400" w:type="dxa"/>
            <w:noWrap/>
            <w:hideMark/>
          </w:tcPr>
          <w:p w14:paraId="6847406A" w14:textId="77777777" w:rsidR="00E410CD" w:rsidRPr="00E410CD" w:rsidRDefault="00E410CD" w:rsidP="00E410CD">
            <w:pPr>
              <w:jc w:val="center"/>
            </w:pPr>
            <w:r w:rsidRPr="00E410CD">
              <w:rPr>
                <w:rFonts w:hint="eastAsia"/>
              </w:rPr>
              <w:t>P&gt;|t|</w:t>
            </w:r>
          </w:p>
        </w:tc>
        <w:tc>
          <w:tcPr>
            <w:tcW w:w="1400" w:type="dxa"/>
            <w:noWrap/>
            <w:hideMark/>
          </w:tcPr>
          <w:p w14:paraId="107F1B85" w14:textId="77777777" w:rsidR="00E410CD" w:rsidRPr="00E410CD" w:rsidRDefault="00E410CD" w:rsidP="00E410CD">
            <w:pPr>
              <w:jc w:val="center"/>
            </w:pPr>
            <w:r w:rsidRPr="00E410CD">
              <w:rPr>
                <w:rFonts w:hint="eastAsia"/>
              </w:rPr>
              <w:t>[95% Conf.</w:t>
            </w:r>
          </w:p>
        </w:tc>
        <w:tc>
          <w:tcPr>
            <w:tcW w:w="1260" w:type="dxa"/>
            <w:noWrap/>
            <w:hideMark/>
          </w:tcPr>
          <w:p w14:paraId="774F7E34" w14:textId="77777777" w:rsidR="00E410CD" w:rsidRPr="00E410CD" w:rsidRDefault="00E410CD" w:rsidP="00E410CD">
            <w:pPr>
              <w:jc w:val="center"/>
            </w:pPr>
            <w:r w:rsidRPr="00E410CD">
              <w:rPr>
                <w:rFonts w:hint="eastAsia"/>
              </w:rPr>
              <w:t>Interval]</w:t>
            </w:r>
          </w:p>
        </w:tc>
      </w:tr>
      <w:tr w:rsidR="00E410CD" w:rsidRPr="00E410CD" w14:paraId="1E516209" w14:textId="77777777" w:rsidTr="00E410CD">
        <w:trPr>
          <w:divId w:val="997419577"/>
          <w:trHeight w:val="270"/>
          <w:jc w:val="center"/>
        </w:trPr>
        <w:tc>
          <w:tcPr>
            <w:tcW w:w="1080" w:type="dxa"/>
            <w:noWrap/>
            <w:hideMark/>
          </w:tcPr>
          <w:p w14:paraId="632B05C3" w14:textId="77777777" w:rsidR="00E410CD" w:rsidRPr="00E410CD" w:rsidRDefault="00E410CD" w:rsidP="00E410CD">
            <w:pPr>
              <w:jc w:val="center"/>
            </w:pPr>
            <w:proofErr w:type="spellStart"/>
            <w:r w:rsidRPr="00E410CD">
              <w:rPr>
                <w:rFonts w:hint="eastAsia"/>
              </w:rPr>
              <w:t>dP</w:t>
            </w:r>
            <w:proofErr w:type="spellEnd"/>
          </w:p>
        </w:tc>
        <w:tc>
          <w:tcPr>
            <w:tcW w:w="1400" w:type="dxa"/>
            <w:noWrap/>
            <w:hideMark/>
          </w:tcPr>
          <w:p w14:paraId="0488FBBC" w14:textId="77777777" w:rsidR="00E410CD" w:rsidRPr="00E410CD" w:rsidRDefault="00E410CD" w:rsidP="00E410CD">
            <w:pPr>
              <w:jc w:val="center"/>
            </w:pPr>
            <w:r w:rsidRPr="00E410CD">
              <w:rPr>
                <w:rFonts w:hint="eastAsia"/>
              </w:rPr>
              <w:t>-0.0006942</w:t>
            </w:r>
          </w:p>
        </w:tc>
        <w:tc>
          <w:tcPr>
            <w:tcW w:w="1260" w:type="dxa"/>
            <w:noWrap/>
            <w:hideMark/>
          </w:tcPr>
          <w:p w14:paraId="162E125F" w14:textId="77777777" w:rsidR="00E410CD" w:rsidRPr="00E410CD" w:rsidRDefault="00E410CD" w:rsidP="00E410CD">
            <w:pPr>
              <w:jc w:val="center"/>
            </w:pPr>
            <w:r w:rsidRPr="00E410CD">
              <w:rPr>
                <w:rFonts w:hint="eastAsia"/>
              </w:rPr>
              <w:t>0.000713</w:t>
            </w:r>
          </w:p>
        </w:tc>
        <w:tc>
          <w:tcPr>
            <w:tcW w:w="1260" w:type="dxa"/>
            <w:noWrap/>
            <w:hideMark/>
          </w:tcPr>
          <w:p w14:paraId="00838D66" w14:textId="77777777" w:rsidR="00E410CD" w:rsidRPr="00E410CD" w:rsidRDefault="00E410CD" w:rsidP="00E410CD">
            <w:pPr>
              <w:jc w:val="center"/>
            </w:pPr>
            <w:r w:rsidRPr="00E410CD">
              <w:rPr>
                <w:rFonts w:hint="eastAsia"/>
              </w:rPr>
              <w:t>-0.97</w:t>
            </w:r>
          </w:p>
        </w:tc>
        <w:tc>
          <w:tcPr>
            <w:tcW w:w="1400" w:type="dxa"/>
            <w:noWrap/>
            <w:hideMark/>
          </w:tcPr>
          <w:p w14:paraId="51D42F16" w14:textId="77777777" w:rsidR="00E410CD" w:rsidRPr="00E410CD" w:rsidRDefault="00E410CD" w:rsidP="00E410CD">
            <w:pPr>
              <w:jc w:val="center"/>
            </w:pPr>
            <w:r w:rsidRPr="00E410CD">
              <w:rPr>
                <w:rFonts w:hint="eastAsia"/>
              </w:rPr>
              <w:t>0.343</w:t>
            </w:r>
          </w:p>
        </w:tc>
        <w:tc>
          <w:tcPr>
            <w:tcW w:w="1400" w:type="dxa"/>
            <w:noWrap/>
            <w:hideMark/>
          </w:tcPr>
          <w:p w14:paraId="541F3F33" w14:textId="77777777" w:rsidR="00E410CD" w:rsidRPr="00E410CD" w:rsidRDefault="00E410CD" w:rsidP="00E410CD">
            <w:pPr>
              <w:jc w:val="center"/>
            </w:pPr>
            <w:r w:rsidRPr="00E410CD">
              <w:rPr>
                <w:rFonts w:hint="eastAsia"/>
              </w:rPr>
              <w:t>-0.0021922</w:t>
            </w:r>
          </w:p>
        </w:tc>
        <w:tc>
          <w:tcPr>
            <w:tcW w:w="1260" w:type="dxa"/>
            <w:noWrap/>
            <w:hideMark/>
          </w:tcPr>
          <w:p w14:paraId="4DC87586" w14:textId="77777777" w:rsidR="00E410CD" w:rsidRPr="00E410CD" w:rsidRDefault="00E410CD" w:rsidP="00E410CD">
            <w:pPr>
              <w:jc w:val="center"/>
            </w:pPr>
            <w:r w:rsidRPr="00E410CD">
              <w:rPr>
                <w:rFonts w:hint="eastAsia"/>
              </w:rPr>
              <w:t>0.0008038</w:t>
            </w:r>
          </w:p>
        </w:tc>
      </w:tr>
      <w:tr w:rsidR="00E410CD" w:rsidRPr="00E410CD" w14:paraId="74458B75" w14:textId="77777777" w:rsidTr="00E410CD">
        <w:trPr>
          <w:divId w:val="997419577"/>
          <w:trHeight w:val="270"/>
          <w:jc w:val="center"/>
        </w:trPr>
        <w:tc>
          <w:tcPr>
            <w:tcW w:w="1080" w:type="dxa"/>
            <w:noWrap/>
            <w:hideMark/>
          </w:tcPr>
          <w:p w14:paraId="332AAA45" w14:textId="77777777" w:rsidR="00E410CD" w:rsidRPr="00E410CD" w:rsidRDefault="00E410CD" w:rsidP="00E410CD">
            <w:pPr>
              <w:jc w:val="center"/>
            </w:pPr>
            <w:proofErr w:type="spellStart"/>
            <w:r w:rsidRPr="00E410CD">
              <w:rPr>
                <w:rFonts w:hint="eastAsia"/>
              </w:rPr>
              <w:t>dJ</w:t>
            </w:r>
            <w:proofErr w:type="spellEnd"/>
          </w:p>
        </w:tc>
        <w:tc>
          <w:tcPr>
            <w:tcW w:w="1400" w:type="dxa"/>
            <w:noWrap/>
            <w:hideMark/>
          </w:tcPr>
          <w:p w14:paraId="06D2D8FC" w14:textId="77777777" w:rsidR="00E410CD" w:rsidRPr="00E410CD" w:rsidRDefault="00E410CD" w:rsidP="00E410CD">
            <w:pPr>
              <w:jc w:val="center"/>
            </w:pPr>
            <w:r w:rsidRPr="00E410CD">
              <w:rPr>
                <w:rFonts w:hint="eastAsia"/>
              </w:rPr>
              <w:t>0.0014182</w:t>
            </w:r>
          </w:p>
        </w:tc>
        <w:tc>
          <w:tcPr>
            <w:tcW w:w="1260" w:type="dxa"/>
            <w:noWrap/>
            <w:hideMark/>
          </w:tcPr>
          <w:p w14:paraId="61DAECB3" w14:textId="77777777" w:rsidR="00E410CD" w:rsidRPr="00E410CD" w:rsidRDefault="00E410CD" w:rsidP="00E410CD">
            <w:pPr>
              <w:jc w:val="center"/>
            </w:pPr>
            <w:r w:rsidRPr="00E410CD">
              <w:rPr>
                <w:rFonts w:hint="eastAsia"/>
              </w:rPr>
              <w:t>0.0007196</w:t>
            </w:r>
          </w:p>
        </w:tc>
        <w:tc>
          <w:tcPr>
            <w:tcW w:w="1260" w:type="dxa"/>
            <w:noWrap/>
            <w:hideMark/>
          </w:tcPr>
          <w:p w14:paraId="26B76EDD" w14:textId="77777777" w:rsidR="00E410CD" w:rsidRPr="00E410CD" w:rsidRDefault="00E410CD" w:rsidP="00E410CD">
            <w:pPr>
              <w:jc w:val="center"/>
            </w:pPr>
            <w:r w:rsidRPr="00E410CD">
              <w:rPr>
                <w:rFonts w:hint="eastAsia"/>
              </w:rPr>
              <w:t>1.97</w:t>
            </w:r>
          </w:p>
        </w:tc>
        <w:tc>
          <w:tcPr>
            <w:tcW w:w="1400" w:type="dxa"/>
            <w:noWrap/>
            <w:hideMark/>
          </w:tcPr>
          <w:p w14:paraId="6624D3F9" w14:textId="77777777" w:rsidR="00E410CD" w:rsidRPr="00E410CD" w:rsidRDefault="00E410CD" w:rsidP="00E410CD">
            <w:pPr>
              <w:jc w:val="center"/>
            </w:pPr>
            <w:r w:rsidRPr="00E410CD">
              <w:rPr>
                <w:rFonts w:hint="eastAsia"/>
              </w:rPr>
              <w:t>0.064</w:t>
            </w:r>
          </w:p>
        </w:tc>
        <w:tc>
          <w:tcPr>
            <w:tcW w:w="1400" w:type="dxa"/>
            <w:noWrap/>
            <w:hideMark/>
          </w:tcPr>
          <w:p w14:paraId="2DE4E06F" w14:textId="77777777" w:rsidR="00E410CD" w:rsidRPr="00E410CD" w:rsidRDefault="00E410CD" w:rsidP="00E410CD">
            <w:pPr>
              <w:jc w:val="center"/>
            </w:pPr>
            <w:r w:rsidRPr="00E410CD">
              <w:rPr>
                <w:rFonts w:hint="eastAsia"/>
              </w:rPr>
              <w:t>-0.0000936</w:t>
            </w:r>
          </w:p>
        </w:tc>
        <w:tc>
          <w:tcPr>
            <w:tcW w:w="1260" w:type="dxa"/>
            <w:noWrap/>
            <w:hideMark/>
          </w:tcPr>
          <w:p w14:paraId="4082C828" w14:textId="77777777" w:rsidR="00E410CD" w:rsidRPr="00E410CD" w:rsidRDefault="00E410CD" w:rsidP="00E410CD">
            <w:pPr>
              <w:jc w:val="center"/>
            </w:pPr>
            <w:r w:rsidRPr="00E410CD">
              <w:rPr>
                <w:rFonts w:hint="eastAsia"/>
              </w:rPr>
              <w:t>0.0029301</w:t>
            </w:r>
          </w:p>
        </w:tc>
      </w:tr>
      <w:tr w:rsidR="00E410CD" w:rsidRPr="00E410CD" w14:paraId="5FF6028E" w14:textId="77777777" w:rsidTr="00E410CD">
        <w:trPr>
          <w:divId w:val="997419577"/>
          <w:trHeight w:val="270"/>
          <w:jc w:val="center"/>
        </w:trPr>
        <w:tc>
          <w:tcPr>
            <w:tcW w:w="1080" w:type="dxa"/>
            <w:noWrap/>
            <w:hideMark/>
          </w:tcPr>
          <w:p w14:paraId="2B03FB0C" w14:textId="77777777" w:rsidR="00E410CD" w:rsidRPr="00E410CD" w:rsidRDefault="00E410CD" w:rsidP="00E410CD">
            <w:pPr>
              <w:jc w:val="center"/>
            </w:pPr>
            <w:r w:rsidRPr="00E410CD">
              <w:rPr>
                <w:rFonts w:hint="eastAsia"/>
              </w:rPr>
              <w:t>_cons</w:t>
            </w:r>
          </w:p>
        </w:tc>
        <w:tc>
          <w:tcPr>
            <w:tcW w:w="1400" w:type="dxa"/>
            <w:noWrap/>
            <w:hideMark/>
          </w:tcPr>
          <w:p w14:paraId="52C2B26E" w14:textId="77777777" w:rsidR="00E410CD" w:rsidRPr="00E410CD" w:rsidRDefault="00E410CD" w:rsidP="00E410CD">
            <w:pPr>
              <w:jc w:val="center"/>
            </w:pPr>
            <w:r w:rsidRPr="00E410CD">
              <w:rPr>
                <w:rFonts w:hint="eastAsia"/>
              </w:rPr>
              <w:t>-0.0006678</w:t>
            </w:r>
          </w:p>
        </w:tc>
        <w:tc>
          <w:tcPr>
            <w:tcW w:w="1260" w:type="dxa"/>
            <w:noWrap/>
            <w:hideMark/>
          </w:tcPr>
          <w:p w14:paraId="12441336" w14:textId="77777777" w:rsidR="00E410CD" w:rsidRPr="00E410CD" w:rsidRDefault="00E410CD" w:rsidP="00E410CD">
            <w:pPr>
              <w:jc w:val="center"/>
            </w:pPr>
            <w:r w:rsidRPr="00E410CD">
              <w:rPr>
                <w:rFonts w:hint="eastAsia"/>
              </w:rPr>
              <w:t>0.0005781</w:t>
            </w:r>
          </w:p>
        </w:tc>
        <w:tc>
          <w:tcPr>
            <w:tcW w:w="1260" w:type="dxa"/>
            <w:noWrap/>
            <w:hideMark/>
          </w:tcPr>
          <w:p w14:paraId="58A1ABA6" w14:textId="77777777" w:rsidR="00E410CD" w:rsidRPr="00E410CD" w:rsidRDefault="00E410CD" w:rsidP="00E410CD">
            <w:pPr>
              <w:jc w:val="center"/>
            </w:pPr>
            <w:r w:rsidRPr="00E410CD">
              <w:rPr>
                <w:rFonts w:hint="eastAsia"/>
              </w:rPr>
              <w:t>-1.16</w:t>
            </w:r>
          </w:p>
        </w:tc>
        <w:tc>
          <w:tcPr>
            <w:tcW w:w="1400" w:type="dxa"/>
            <w:noWrap/>
            <w:hideMark/>
          </w:tcPr>
          <w:p w14:paraId="4D42DF83" w14:textId="77777777" w:rsidR="00E410CD" w:rsidRPr="00E410CD" w:rsidRDefault="00E410CD" w:rsidP="00E410CD">
            <w:pPr>
              <w:jc w:val="center"/>
            </w:pPr>
            <w:r w:rsidRPr="00E410CD">
              <w:rPr>
                <w:rFonts w:hint="eastAsia"/>
              </w:rPr>
              <w:t>0.263</w:t>
            </w:r>
          </w:p>
        </w:tc>
        <w:tc>
          <w:tcPr>
            <w:tcW w:w="1400" w:type="dxa"/>
            <w:noWrap/>
            <w:hideMark/>
          </w:tcPr>
          <w:p w14:paraId="19858720" w14:textId="77777777" w:rsidR="00E410CD" w:rsidRPr="00E410CD" w:rsidRDefault="00E410CD" w:rsidP="00E410CD">
            <w:pPr>
              <w:jc w:val="center"/>
            </w:pPr>
            <w:r w:rsidRPr="00E410CD">
              <w:rPr>
                <w:rFonts w:hint="eastAsia"/>
              </w:rPr>
              <w:t>-0.0018824</w:t>
            </w:r>
          </w:p>
        </w:tc>
        <w:tc>
          <w:tcPr>
            <w:tcW w:w="1260" w:type="dxa"/>
            <w:noWrap/>
            <w:hideMark/>
          </w:tcPr>
          <w:p w14:paraId="329D84A2" w14:textId="77777777" w:rsidR="00E410CD" w:rsidRPr="00E410CD" w:rsidRDefault="00E410CD" w:rsidP="00E410CD">
            <w:pPr>
              <w:jc w:val="center"/>
            </w:pPr>
            <w:r w:rsidRPr="00E410CD">
              <w:rPr>
                <w:rFonts w:hint="eastAsia"/>
              </w:rPr>
              <w:t>0.0005468</w:t>
            </w:r>
          </w:p>
        </w:tc>
      </w:tr>
    </w:tbl>
    <w:p w14:paraId="7BCCFB44" w14:textId="35C82DA4" w:rsidR="002B1EE1" w:rsidRDefault="002B1EE1" w:rsidP="002B1EE1">
      <w:pPr>
        <w:jc w:val="center"/>
      </w:pPr>
      <w:r>
        <w:fldChar w:fldCharType="end"/>
      </w:r>
      <w:r>
        <w:rPr>
          <w:rFonts w:hint="eastAsia"/>
        </w:rPr>
        <w:t>表</w:t>
      </w:r>
      <w:r w:rsidR="007F7131">
        <w:rPr>
          <w:rFonts w:hint="eastAsia"/>
        </w:rPr>
        <w:t>8</w:t>
      </w:r>
      <w:r>
        <w:rPr>
          <w:rFonts w:hint="eastAsia"/>
        </w:rPr>
        <w:t xml:space="preserve">　回帰分析の結果</w:t>
      </w:r>
    </w:p>
    <w:p w14:paraId="01D05F4F" w14:textId="77777777" w:rsidR="007E51FF" w:rsidRDefault="002B1EE1" w:rsidP="002B1EE1">
      <w:r>
        <w:rPr>
          <w:rFonts w:hint="eastAsia"/>
        </w:rPr>
        <w:t xml:space="preserve">　</w:t>
      </w:r>
    </w:p>
    <w:p w14:paraId="31E51A10" w14:textId="1A2E40BB" w:rsidR="005D19FD" w:rsidRDefault="002B1EE1" w:rsidP="005E0900">
      <w:pPr>
        <w:ind w:firstLineChars="100" w:firstLine="210"/>
      </w:pPr>
      <w:r>
        <w:rPr>
          <w:rFonts w:hint="eastAsia"/>
        </w:rPr>
        <w:t>表</w:t>
      </w:r>
      <w:r w:rsidR="007F7131">
        <w:rPr>
          <w:rFonts w:hint="eastAsia"/>
        </w:rPr>
        <w:t>8</w:t>
      </w:r>
      <w:r>
        <w:rPr>
          <w:rFonts w:hint="eastAsia"/>
        </w:rPr>
        <w:t>から分かる通り、</w:t>
      </w:r>
      <w:r>
        <w:rPr>
          <w:rFonts w:hint="eastAsia"/>
        </w:rPr>
        <w:t>t</w:t>
      </w:r>
      <w:r>
        <w:rPr>
          <w:rFonts w:hint="eastAsia"/>
        </w:rPr>
        <w:t>値に着目すると民営化ダミーは有意でなく、熱量変更ダミーは有意である。また民営化ダミーの係数の符号は負であることからも、民営化によって単位当たり経常利益が改善するとは言</w:t>
      </w:r>
      <w:r w:rsidR="00823487">
        <w:rPr>
          <w:rFonts w:hint="eastAsia"/>
        </w:rPr>
        <w:t>いにくい</w:t>
      </w:r>
      <w:r>
        <w:rPr>
          <w:rFonts w:hint="eastAsia"/>
        </w:rPr>
        <w:t>。</w:t>
      </w:r>
    </w:p>
    <w:p w14:paraId="3D25B2C7" w14:textId="038337CA" w:rsidR="005E0900" w:rsidRPr="00BF1B62" w:rsidRDefault="00D47FB0" w:rsidP="005D19FD">
      <w:pPr>
        <w:ind w:firstLineChars="100" w:firstLine="210"/>
      </w:pPr>
      <w:r>
        <w:rPr>
          <w:rFonts w:hint="eastAsia"/>
        </w:rPr>
        <w:t>しか</w:t>
      </w:r>
      <w:r w:rsidR="001432B3">
        <w:rPr>
          <w:rFonts w:hint="eastAsia"/>
        </w:rPr>
        <w:t>し本</w:t>
      </w:r>
      <w:r w:rsidR="00357636">
        <w:rPr>
          <w:rFonts w:hint="eastAsia"/>
        </w:rPr>
        <w:t>分析では被説明変数に</w:t>
      </w:r>
      <w:r w:rsidR="001432B3">
        <w:rPr>
          <w:rFonts w:hint="eastAsia"/>
        </w:rPr>
        <w:t>ガス</w:t>
      </w:r>
      <w:r w:rsidR="00357636">
        <w:rPr>
          <w:rFonts w:hint="eastAsia"/>
        </w:rPr>
        <w:t>販売量単位あたりの経常利益を用いているため、単位量あたり利益が改善しなかったとしても、それ</w:t>
      </w:r>
      <w:r w:rsidR="001432B3">
        <w:rPr>
          <w:rFonts w:hint="eastAsia"/>
        </w:rPr>
        <w:t>が</w:t>
      </w:r>
      <w:r w:rsidR="00357636">
        <w:rPr>
          <w:rFonts w:hint="eastAsia"/>
        </w:rPr>
        <w:t>直ちに民営化の失敗を示す</w:t>
      </w:r>
      <w:r w:rsidR="005B5610">
        <w:rPr>
          <w:rFonts w:hint="eastAsia"/>
        </w:rPr>
        <w:t>ものではなく、むしろガス販売量の大幅な増加による民営化の成功を示している</w:t>
      </w:r>
      <w:r w:rsidR="00357636">
        <w:rPr>
          <w:rFonts w:hint="eastAsia"/>
        </w:rPr>
        <w:t>と</w:t>
      </w:r>
      <w:r w:rsidR="001432B3">
        <w:rPr>
          <w:rFonts w:hint="eastAsia"/>
        </w:rPr>
        <w:t>も</w:t>
      </w:r>
      <w:r w:rsidR="005B5610">
        <w:rPr>
          <w:rFonts w:hint="eastAsia"/>
        </w:rPr>
        <w:t>捉えられる</w:t>
      </w:r>
      <w:r w:rsidR="00357636">
        <w:rPr>
          <w:rFonts w:hint="eastAsia"/>
        </w:rPr>
        <w:t>。例えば民営化によって、工業用ガス需要者などの大口顧客への営業を拡大したり、家庭向けに多彩な料金メニューを用意したりといった企業努力が行われれば、</w:t>
      </w:r>
      <w:r w:rsidR="005D19FD">
        <w:rPr>
          <w:rFonts w:hint="eastAsia"/>
        </w:rPr>
        <w:t>「</w:t>
      </w:r>
      <w:r w:rsidR="001432B3">
        <w:rPr>
          <w:rFonts w:hint="eastAsia"/>
        </w:rPr>
        <w:t>単位あたり経常利益＝経常利益÷ガス販売量</w:t>
      </w:r>
      <w:r w:rsidR="005D19FD">
        <w:rPr>
          <w:rFonts w:hint="eastAsia"/>
        </w:rPr>
        <w:t>」</w:t>
      </w:r>
      <w:r w:rsidR="001432B3">
        <w:rPr>
          <w:rFonts w:hint="eastAsia"/>
        </w:rPr>
        <w:t>の分母</w:t>
      </w:r>
      <w:r w:rsidR="005B5610">
        <w:rPr>
          <w:rFonts w:hint="eastAsia"/>
        </w:rPr>
        <w:t>にあたるガス販売量が増えるため、単位当たり経常利益は増加しない</w:t>
      </w:r>
      <w:r w:rsidR="001432B3">
        <w:rPr>
          <w:rFonts w:hint="eastAsia"/>
        </w:rPr>
        <w:t>。</w:t>
      </w:r>
      <w:r w:rsidR="005B5610">
        <w:rPr>
          <w:rFonts w:hint="eastAsia"/>
        </w:rPr>
        <w:t>よって民営化ダミーの符号が負であることから</w:t>
      </w:r>
      <w:r w:rsidR="005D19FD">
        <w:rPr>
          <w:rFonts w:hint="eastAsia"/>
        </w:rPr>
        <w:t>民営化が経常利益に与える影響が</w:t>
      </w:r>
      <w:r w:rsidR="005B5610">
        <w:rPr>
          <w:rFonts w:hint="eastAsia"/>
        </w:rPr>
        <w:t>マイナスであるとは断定出来ず</w:t>
      </w:r>
      <w:r w:rsidR="005E0900">
        <w:rPr>
          <w:rFonts w:hint="eastAsia"/>
        </w:rPr>
        <w:t>、</w:t>
      </w:r>
      <w:r w:rsidR="005D19FD">
        <w:rPr>
          <w:rFonts w:hint="eastAsia"/>
        </w:rPr>
        <w:t>真に民営化の効果を判断するには</w:t>
      </w:r>
      <w:r w:rsidR="003227AE">
        <w:rPr>
          <w:rFonts w:hint="eastAsia"/>
        </w:rPr>
        <w:t>本分析に加えて</w:t>
      </w:r>
      <w:r w:rsidR="005D19FD">
        <w:rPr>
          <w:rFonts w:hint="eastAsia"/>
        </w:rPr>
        <w:t>、</w:t>
      </w:r>
      <w:r w:rsidR="005E0900">
        <w:rPr>
          <w:rFonts w:hint="eastAsia"/>
        </w:rPr>
        <w:t>大口需要者への販売量や</w:t>
      </w:r>
      <w:r w:rsidR="000F2EBE">
        <w:rPr>
          <w:rFonts w:hint="eastAsia"/>
        </w:rPr>
        <w:t>当該自治体の区域外の顧客に供給を行う「越境」営業</w:t>
      </w:r>
      <w:r w:rsidR="003E7A28">
        <w:rPr>
          <w:rFonts w:hint="eastAsia"/>
        </w:rPr>
        <w:t>などを詳細に見ていく必要があると考えられる</w:t>
      </w:r>
      <w:r w:rsidR="00FD03B6">
        <w:rPr>
          <w:rFonts w:hint="eastAsia"/>
        </w:rPr>
        <w:t>。</w:t>
      </w:r>
    </w:p>
    <w:p w14:paraId="6A485A67" w14:textId="77777777" w:rsidR="002B1EE1" w:rsidRPr="00FD03B6" w:rsidRDefault="002B1EE1" w:rsidP="002B1EE1"/>
    <w:p w14:paraId="74C100A6" w14:textId="77777777" w:rsidR="002B1EE1" w:rsidRPr="00D70A27" w:rsidRDefault="00D70A27" w:rsidP="002B1EE1">
      <w:pPr>
        <w:rPr>
          <w:sz w:val="24"/>
        </w:rPr>
      </w:pPr>
      <w:r w:rsidRPr="00D70A27">
        <w:rPr>
          <w:rFonts w:hint="eastAsia"/>
          <w:sz w:val="24"/>
        </w:rPr>
        <w:t xml:space="preserve">3. </w:t>
      </w:r>
      <w:r w:rsidR="002B1EE1" w:rsidRPr="00D70A27">
        <w:rPr>
          <w:rFonts w:hint="eastAsia"/>
          <w:sz w:val="24"/>
        </w:rPr>
        <w:t>まとめと今後の課題</w:t>
      </w:r>
    </w:p>
    <w:p w14:paraId="3EE555F9" w14:textId="4759611C" w:rsidR="005912FD" w:rsidRDefault="002B1EE1" w:rsidP="002B1EE1">
      <w:r>
        <w:rPr>
          <w:rFonts w:hint="eastAsia"/>
        </w:rPr>
        <w:t xml:space="preserve">　本レポートではガス事業の民営化が与える影響を分析し、民営化によって費用削減と利益改善という経営効率化を達成出来ているか、その効果の分析を試みた。</w:t>
      </w:r>
      <w:r w:rsidR="005B2711">
        <w:rPr>
          <w:rFonts w:hint="eastAsia"/>
        </w:rPr>
        <w:t>そして、まず</w:t>
      </w:r>
      <w:r w:rsidR="00C60ED9">
        <w:rPr>
          <w:rFonts w:hint="eastAsia"/>
        </w:rPr>
        <w:t>平成</w:t>
      </w:r>
      <w:r w:rsidR="00C60ED9">
        <w:rPr>
          <w:rFonts w:hint="eastAsia"/>
        </w:rPr>
        <w:t>11</w:t>
      </w:r>
      <w:r w:rsidR="00C60ED9">
        <w:rPr>
          <w:rFonts w:hint="eastAsia"/>
        </w:rPr>
        <w:t>年と平成</w:t>
      </w:r>
      <w:r w:rsidR="00C60ED9">
        <w:rPr>
          <w:rFonts w:hint="eastAsia"/>
        </w:rPr>
        <w:t>24</w:t>
      </w:r>
      <w:r w:rsidR="00C60ED9">
        <w:rPr>
          <w:rFonts w:hint="eastAsia"/>
        </w:rPr>
        <w:t>年の</w:t>
      </w:r>
      <w:r w:rsidR="00C60ED9">
        <w:rPr>
          <w:rFonts w:hint="eastAsia"/>
        </w:rPr>
        <w:t>2</w:t>
      </w:r>
      <w:r w:rsidR="00C60ED9">
        <w:rPr>
          <w:rFonts w:hint="eastAsia"/>
        </w:rPr>
        <w:t>時点の『ガス事業年報』のデータを用いて、主に各事業者の営業費用と経常利益の変化を観察した。</w:t>
      </w:r>
      <w:r w:rsidR="00DD2E75">
        <w:rPr>
          <w:rFonts w:hint="eastAsia"/>
        </w:rPr>
        <w:t>その結果、民営化は単位あたり費用の改善には貢献するが、単位当たり経常利益には効果が表れない可能性が示唆された。この仮説を立証するため、</w:t>
      </w:r>
      <w:r>
        <w:rPr>
          <w:rFonts w:hint="eastAsia"/>
        </w:rPr>
        <w:t>次に</w:t>
      </w:r>
      <w:r w:rsidR="00D04ABA">
        <w:rPr>
          <w:rFonts w:hint="eastAsia"/>
        </w:rPr>
        <w:t>ハウスマン検定によって固定効果モデルを採択すべきであることを明らかにした上で、</w:t>
      </w:r>
      <w:r w:rsidR="005912FD">
        <w:rPr>
          <w:rFonts w:hint="eastAsia"/>
        </w:rPr>
        <w:t>2</w:t>
      </w:r>
      <w:r w:rsidR="005912FD">
        <w:rPr>
          <w:rFonts w:hint="eastAsia"/>
        </w:rPr>
        <w:t>時点間の</w:t>
      </w:r>
      <w:r>
        <w:t>Difference</w:t>
      </w:r>
      <w:r>
        <w:rPr>
          <w:rFonts w:hint="eastAsia"/>
        </w:rPr>
        <w:t xml:space="preserve"> in difference</w:t>
      </w:r>
      <w:r w:rsidR="00C60ED9">
        <w:rPr>
          <w:rFonts w:hint="eastAsia"/>
        </w:rPr>
        <w:t>の回帰分析手法を用いて、民営化が及ぼす影響を分析した</w:t>
      </w:r>
      <w:r>
        <w:rPr>
          <w:rFonts w:hint="eastAsia"/>
        </w:rPr>
        <w:t>。そして</w:t>
      </w:r>
      <w:r w:rsidR="00DD2E75">
        <w:rPr>
          <w:rFonts w:hint="eastAsia"/>
        </w:rPr>
        <w:t>分析の結果、仮説とは異なり、</w:t>
      </w:r>
      <w:r>
        <w:rPr>
          <w:rFonts w:hint="eastAsia"/>
        </w:rPr>
        <w:t>販売量単位あたり</w:t>
      </w:r>
      <w:r w:rsidR="00C60ED9">
        <w:rPr>
          <w:rFonts w:hint="eastAsia"/>
        </w:rPr>
        <w:t>営業</w:t>
      </w:r>
      <w:r>
        <w:rPr>
          <w:rFonts w:hint="eastAsia"/>
        </w:rPr>
        <w:t>費用と経常利益の双方で、民営化ダミーは有意でないことが明らかになった。</w:t>
      </w:r>
    </w:p>
    <w:p w14:paraId="44BF5CA1" w14:textId="004D8E39" w:rsidR="00791B64" w:rsidRDefault="005B2711" w:rsidP="00791B64">
      <w:pPr>
        <w:ind w:firstLineChars="100" w:firstLine="210"/>
        <w:rPr>
          <w:rFonts w:hint="eastAsia"/>
        </w:rPr>
      </w:pPr>
      <w:r>
        <w:rPr>
          <w:rFonts w:hint="eastAsia"/>
        </w:rPr>
        <w:t>これらの結果より、民営化は直接的にはガス事業の経営効率化に影響しないことが分かった</w:t>
      </w:r>
      <w:r w:rsidR="002B1EE1">
        <w:rPr>
          <w:rFonts w:hint="eastAsia"/>
        </w:rPr>
        <w:t>。</w:t>
      </w:r>
      <w:r>
        <w:rPr>
          <w:rFonts w:hint="eastAsia"/>
        </w:rPr>
        <w:t>しかし</w:t>
      </w:r>
      <w:r w:rsidR="00A56EAD">
        <w:rPr>
          <w:rFonts w:hint="eastAsia"/>
        </w:rPr>
        <w:t>ながら、</w:t>
      </w:r>
      <w:r>
        <w:rPr>
          <w:rFonts w:hint="eastAsia"/>
        </w:rPr>
        <w:t>特に単位当たり経常利益については、民営化ダミーが有意でなかっ</w:t>
      </w:r>
      <w:r>
        <w:rPr>
          <w:rFonts w:hint="eastAsia"/>
        </w:rPr>
        <w:lastRenderedPageBreak/>
        <w:t>たことを以って、</w:t>
      </w:r>
      <w:r w:rsidR="00A56EAD">
        <w:rPr>
          <w:rFonts w:hint="eastAsia"/>
        </w:rPr>
        <w:t>民営化は失敗であったとは結論付け難い。</w:t>
      </w:r>
      <w:r w:rsidR="00EE744E">
        <w:rPr>
          <w:rFonts w:hint="eastAsia"/>
        </w:rPr>
        <w:t>その理由</w:t>
      </w:r>
      <w:r w:rsidR="002B1EE1">
        <w:rPr>
          <w:rFonts w:hint="eastAsia"/>
        </w:rPr>
        <w:t>として、例えば</w:t>
      </w:r>
      <w:r w:rsidR="00A56EAD">
        <w:rPr>
          <w:rFonts w:hint="eastAsia"/>
        </w:rPr>
        <w:t>民営化によって</w:t>
      </w:r>
      <w:r w:rsidR="002B1EE1">
        <w:rPr>
          <w:rFonts w:hint="eastAsia"/>
        </w:rPr>
        <w:t>スケールメリットによる販売</w:t>
      </w:r>
      <w:r w:rsidR="00A56EAD">
        <w:rPr>
          <w:rFonts w:hint="eastAsia"/>
        </w:rPr>
        <w:t>量の規模の拡大や工業用ガス需要者などの大口顧客に向けた営業努力が行われるようになれば、仮に単位当たり経常利益が現在時点では伸びていなくても、将来的には利益の増加が見込まれるため、民営化は成功していると言えるからである。</w:t>
      </w:r>
      <w:r w:rsidR="00791B64">
        <w:rPr>
          <w:rFonts w:hint="eastAsia"/>
        </w:rPr>
        <w:t>つまり</w:t>
      </w:r>
      <w:r w:rsidR="00EE744E">
        <w:rPr>
          <w:rFonts w:hint="eastAsia"/>
        </w:rPr>
        <w:t>本</w:t>
      </w:r>
      <w:r w:rsidR="00791B64">
        <w:rPr>
          <w:rFonts w:hint="eastAsia"/>
        </w:rPr>
        <w:t>分析の結果から</w:t>
      </w:r>
      <w:r w:rsidR="00EE744E">
        <w:rPr>
          <w:rFonts w:hint="eastAsia"/>
        </w:rPr>
        <w:t>は、</w:t>
      </w:r>
      <w:r w:rsidR="00A56EAD">
        <w:rPr>
          <w:rFonts w:hint="eastAsia"/>
        </w:rPr>
        <w:t>ガス事業の経営効率化に資する要因は民営化のみでないと考</w:t>
      </w:r>
      <w:r w:rsidR="00791B64">
        <w:rPr>
          <w:rFonts w:hint="eastAsia"/>
        </w:rPr>
        <w:t>えられ、ガス事業を成功させるための</w:t>
      </w:r>
      <w:r w:rsidR="00EE744E">
        <w:rPr>
          <w:rFonts w:hint="eastAsia"/>
        </w:rPr>
        <w:t>要因を見つけるには、</w:t>
      </w:r>
      <w:r w:rsidR="00791B64">
        <w:rPr>
          <w:rFonts w:hint="eastAsia"/>
        </w:rPr>
        <w:t>販売量の拡大や大口ガス需要者への販売行動などの他の要因も考慮する必要がある</w:t>
      </w:r>
      <w:r w:rsidR="00EE744E">
        <w:rPr>
          <w:rFonts w:hint="eastAsia"/>
        </w:rPr>
        <w:t>ことが分かった</w:t>
      </w:r>
      <w:r w:rsidR="00A56EAD">
        <w:rPr>
          <w:rFonts w:hint="eastAsia"/>
        </w:rPr>
        <w:t>。</w:t>
      </w:r>
    </w:p>
    <w:p w14:paraId="0A0263EF" w14:textId="45C2653E" w:rsidR="00753B98" w:rsidRDefault="00791B64" w:rsidP="00791B64">
      <w:pPr>
        <w:ind w:firstLineChars="100" w:firstLine="210"/>
      </w:pPr>
      <w:r>
        <w:rPr>
          <w:rFonts w:hint="eastAsia"/>
        </w:rPr>
        <w:t>よって今後は本レポートの結果</w:t>
      </w:r>
      <w:r w:rsidR="005912FD">
        <w:rPr>
          <w:rFonts w:hint="eastAsia"/>
        </w:rPr>
        <w:t>を踏まえて、</w:t>
      </w:r>
      <w:r w:rsidR="002B1EE1">
        <w:rPr>
          <w:rFonts w:hint="eastAsia"/>
        </w:rPr>
        <w:t>民営化以外のガス事業の成功要因を見つけるため、</w:t>
      </w:r>
      <w:r w:rsidR="00BD106C">
        <w:rPr>
          <w:rFonts w:hint="eastAsia"/>
        </w:rPr>
        <w:t>2</w:t>
      </w:r>
      <w:r>
        <w:rPr>
          <w:rFonts w:hint="eastAsia"/>
        </w:rPr>
        <w:t>時点間の分析ではなくパネルデータを用いて、各企業の販売量や大口需要者への販売戦略</w:t>
      </w:r>
      <w:r w:rsidR="002B1EE1">
        <w:rPr>
          <w:rFonts w:hint="eastAsia"/>
        </w:rPr>
        <w:t>が経常利益と費用</w:t>
      </w:r>
      <w:r>
        <w:rPr>
          <w:rFonts w:hint="eastAsia"/>
        </w:rPr>
        <w:t>構造に与える影響を考察したい。そして民営化と他の要因の因果関係を明らかにすることで</w:t>
      </w:r>
      <w:r w:rsidR="002B1EE1">
        <w:rPr>
          <w:rFonts w:hint="eastAsia"/>
        </w:rPr>
        <w:t>、民営化によって具体的にど</w:t>
      </w:r>
      <w:r w:rsidR="005F597B">
        <w:rPr>
          <w:rFonts w:hint="eastAsia"/>
        </w:rPr>
        <w:t>のような施策を行った企業が</w:t>
      </w:r>
      <w:r>
        <w:rPr>
          <w:rFonts w:hint="eastAsia"/>
        </w:rPr>
        <w:t>ガス事業の</w:t>
      </w:r>
      <w:r w:rsidR="005F597B">
        <w:rPr>
          <w:rFonts w:hint="eastAsia"/>
        </w:rPr>
        <w:t>経営効率化に成功しているかを明らかにしたい。</w:t>
      </w:r>
    </w:p>
    <w:p w14:paraId="18C07ADA" w14:textId="77777777" w:rsidR="00753B98" w:rsidRDefault="00753B98" w:rsidP="002B1EE1">
      <w:pPr>
        <w:rPr>
          <w:rFonts w:hint="eastAsia"/>
        </w:rPr>
      </w:pPr>
    </w:p>
    <w:p w14:paraId="0D684593" w14:textId="77777777" w:rsidR="007F7131" w:rsidRDefault="007F7131" w:rsidP="002B1EE1">
      <w:pPr>
        <w:rPr>
          <w:rFonts w:hint="eastAsia"/>
        </w:rPr>
      </w:pPr>
    </w:p>
    <w:p w14:paraId="7441E2A7" w14:textId="77777777" w:rsidR="007F7131" w:rsidRDefault="007F7131" w:rsidP="002B1EE1">
      <w:pPr>
        <w:rPr>
          <w:rFonts w:hint="eastAsia"/>
        </w:rPr>
      </w:pPr>
    </w:p>
    <w:p w14:paraId="1EA12119" w14:textId="77777777" w:rsidR="007F7131" w:rsidRDefault="007F7131" w:rsidP="002B1EE1"/>
    <w:p w14:paraId="2B35CB6C" w14:textId="77777777" w:rsidR="002B1EE1" w:rsidRPr="00D70A27" w:rsidRDefault="002B1EE1" w:rsidP="002B1EE1">
      <w:pPr>
        <w:rPr>
          <w:sz w:val="24"/>
        </w:rPr>
      </w:pPr>
      <w:r w:rsidRPr="00D70A27">
        <w:rPr>
          <w:rFonts w:hint="eastAsia"/>
          <w:sz w:val="24"/>
        </w:rPr>
        <w:t>参考文献</w:t>
      </w:r>
    </w:p>
    <w:p w14:paraId="49C9B9FD" w14:textId="77777777" w:rsidR="002B1EE1" w:rsidRPr="00C5708F" w:rsidRDefault="002B1EE1" w:rsidP="002B1EE1">
      <w:r w:rsidRPr="00C5708F">
        <w:rPr>
          <w:rFonts w:hint="eastAsia"/>
        </w:rPr>
        <w:t>戒能一成</w:t>
      </w:r>
      <w:r w:rsidRPr="00C5708F">
        <w:rPr>
          <w:rFonts w:hint="eastAsia"/>
        </w:rPr>
        <w:t>(2007)</w:t>
      </w:r>
      <w:r w:rsidRPr="00C5708F">
        <w:rPr>
          <w:rFonts w:hint="eastAsia"/>
        </w:rPr>
        <w:t>「都市ガス事業における「内々価格差」の定量的評価分析」</w:t>
      </w:r>
      <w:r w:rsidRPr="00C5708F">
        <w:rPr>
          <w:rFonts w:hint="eastAsia"/>
        </w:rPr>
        <w:t>RIETI Discussion Paper Series 08-J-001</w:t>
      </w:r>
    </w:p>
    <w:p w14:paraId="5AF0EAE3" w14:textId="77777777" w:rsidR="002B1EE1" w:rsidRPr="00C5708F" w:rsidRDefault="002B1EE1" w:rsidP="002B1EE1">
      <w:r w:rsidRPr="00C5708F">
        <w:rPr>
          <w:rFonts w:hint="eastAsia"/>
        </w:rPr>
        <w:t>資源エネルギー庁『エネルギー白書</w:t>
      </w:r>
      <w:r w:rsidRPr="00C5708F">
        <w:rPr>
          <w:rFonts w:hint="eastAsia"/>
        </w:rPr>
        <w:t>2014</w:t>
      </w:r>
      <w:r w:rsidRPr="00C5708F">
        <w:rPr>
          <w:rFonts w:hint="eastAsia"/>
        </w:rPr>
        <w:t>』</w:t>
      </w:r>
    </w:p>
    <w:p w14:paraId="676FE758" w14:textId="77777777" w:rsidR="00271FE9" w:rsidRPr="00271FE9" w:rsidRDefault="00271FE9" w:rsidP="002B1EE1">
      <w:r>
        <w:rPr>
          <w:rFonts w:hint="eastAsia"/>
        </w:rPr>
        <w:t>資源エネルギー庁『簡易ガス事業の概況』</w:t>
      </w:r>
    </w:p>
    <w:p w14:paraId="4B0B15DA" w14:textId="77777777" w:rsidR="002B1EE1" w:rsidRDefault="002B1EE1" w:rsidP="002B1EE1">
      <w:r w:rsidRPr="00C5708F">
        <w:rPr>
          <w:rFonts w:hint="eastAsia"/>
        </w:rPr>
        <w:t>資源エネルギー庁『ガス事業年報』</w:t>
      </w:r>
    </w:p>
    <w:p w14:paraId="035221D8" w14:textId="77777777" w:rsidR="00B44354" w:rsidRDefault="00B44354" w:rsidP="002B1EE1">
      <w:r>
        <w:rPr>
          <w:rFonts w:hint="eastAsia"/>
        </w:rPr>
        <w:t>総務省『平成</w:t>
      </w:r>
      <w:r>
        <w:rPr>
          <w:rFonts w:hint="eastAsia"/>
        </w:rPr>
        <w:t>24</w:t>
      </w:r>
      <w:r>
        <w:rPr>
          <w:rFonts w:hint="eastAsia"/>
        </w:rPr>
        <w:t>年度</w:t>
      </w:r>
      <w:r w:rsidR="00047259">
        <w:rPr>
          <w:rFonts w:hint="eastAsia"/>
        </w:rPr>
        <w:t xml:space="preserve"> </w:t>
      </w:r>
      <w:r>
        <w:rPr>
          <w:rFonts w:hint="eastAsia"/>
        </w:rPr>
        <w:t>公営企業年鑑』</w:t>
      </w:r>
    </w:p>
    <w:p w14:paraId="00E90030" w14:textId="77777777" w:rsidR="00270C11" w:rsidRPr="00270C11" w:rsidRDefault="00270C11" w:rsidP="002B1EE1">
      <w:r w:rsidRPr="00270C11">
        <w:rPr>
          <w:rFonts w:hint="eastAsia"/>
        </w:rPr>
        <w:t>日本ガス協会『ガス事業便覧</w:t>
      </w:r>
      <w:r>
        <w:rPr>
          <w:rFonts w:hint="eastAsia"/>
        </w:rPr>
        <w:t xml:space="preserve"> </w:t>
      </w:r>
      <w:r w:rsidRPr="00270C11">
        <w:rPr>
          <w:rFonts w:hint="eastAsia"/>
        </w:rPr>
        <w:t>平成</w:t>
      </w:r>
      <w:r w:rsidRPr="00270C11">
        <w:rPr>
          <w:rFonts w:hint="eastAsia"/>
        </w:rPr>
        <w:t xml:space="preserve">24 </w:t>
      </w:r>
      <w:r w:rsidRPr="00270C11">
        <w:rPr>
          <w:rFonts w:hint="eastAsia"/>
        </w:rPr>
        <w:t>年版』</w:t>
      </w:r>
    </w:p>
    <w:p w14:paraId="05B8E512" w14:textId="77777777" w:rsidR="00A60AB7" w:rsidRPr="002B1EE1" w:rsidRDefault="002B1EE1">
      <w:r w:rsidRPr="00C5708F">
        <w:t>Jeffrey</w:t>
      </w:r>
      <w:bookmarkStart w:id="0" w:name="_GoBack"/>
      <w:bookmarkEnd w:id="0"/>
      <w:r w:rsidRPr="00C5708F">
        <w:t xml:space="preserve"> M. Wooldridge “Introductory Econometrics”</w:t>
      </w:r>
    </w:p>
    <w:sectPr w:rsidR="00A60AB7" w:rsidRPr="002B1EE1" w:rsidSect="00D869B0">
      <w:footerReference w:type="default" r:id="rId19"/>
      <w:pgSz w:w="11906" w:h="16838"/>
      <w:pgMar w:top="1985" w:right="1701" w:bottom="1701" w:left="1701" w:header="851" w:footer="992" w:gutter="0"/>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ACB86" w15:done="0"/>
  <w15:commentEx w15:paraId="303E9D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F3810" w14:textId="77777777" w:rsidR="00EA1EBE" w:rsidRDefault="00EA1EBE" w:rsidP="00BA0AD4">
      <w:r>
        <w:separator/>
      </w:r>
    </w:p>
  </w:endnote>
  <w:endnote w:type="continuationSeparator" w:id="0">
    <w:p w14:paraId="73AE66AA" w14:textId="77777777" w:rsidR="00EA1EBE" w:rsidRDefault="00EA1EBE" w:rsidP="00BA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37897"/>
      <w:docPartObj>
        <w:docPartGallery w:val="Page Numbers (Bottom of Page)"/>
        <w:docPartUnique/>
      </w:docPartObj>
    </w:sdtPr>
    <w:sdtContent>
      <w:p w14:paraId="452EBABD" w14:textId="77777777" w:rsidR="00574EF3" w:rsidRDefault="00574EF3">
        <w:pPr>
          <w:pStyle w:val="a5"/>
          <w:jc w:val="center"/>
        </w:pPr>
        <w:r>
          <w:fldChar w:fldCharType="begin"/>
        </w:r>
        <w:r>
          <w:instrText>PAGE   \* MERGEFORMAT</w:instrText>
        </w:r>
        <w:r>
          <w:fldChar w:fldCharType="separate"/>
        </w:r>
        <w:r w:rsidR="00EE744E" w:rsidRPr="00EE744E">
          <w:rPr>
            <w:noProof/>
            <w:lang w:val="ja-JP"/>
          </w:rPr>
          <w:t>13</w:t>
        </w:r>
        <w:r>
          <w:fldChar w:fldCharType="end"/>
        </w:r>
      </w:p>
    </w:sdtContent>
  </w:sdt>
  <w:p w14:paraId="2CBEC1C3" w14:textId="77777777" w:rsidR="00574EF3" w:rsidRDefault="00574E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6D2E" w14:textId="77777777" w:rsidR="00EA1EBE" w:rsidRDefault="00EA1EBE" w:rsidP="00BA0AD4">
      <w:r>
        <w:separator/>
      </w:r>
    </w:p>
  </w:footnote>
  <w:footnote w:type="continuationSeparator" w:id="0">
    <w:p w14:paraId="240DF78A" w14:textId="77777777" w:rsidR="00EA1EBE" w:rsidRDefault="00EA1EBE" w:rsidP="00BA0AD4">
      <w:r>
        <w:continuationSeparator/>
      </w:r>
    </w:p>
  </w:footnote>
  <w:footnote w:id="1">
    <w:p w14:paraId="23673EB6" w14:textId="77777777" w:rsidR="00574EF3" w:rsidRPr="0003747B" w:rsidRDefault="00574EF3" w:rsidP="00012D4F">
      <w:pPr>
        <w:pStyle w:val="a8"/>
      </w:pPr>
      <w:r w:rsidRPr="007A505A">
        <w:rPr>
          <w:rStyle w:val="aa"/>
        </w:rPr>
        <w:footnoteRef/>
      </w:r>
      <w:r w:rsidRPr="007A505A">
        <w:rPr>
          <w:rFonts w:hint="eastAsia"/>
        </w:rPr>
        <w:t>区域変更を行う場合</w:t>
      </w:r>
      <w:r>
        <w:rPr>
          <w:rFonts w:hint="eastAsia"/>
        </w:rPr>
        <w:t>に</w:t>
      </w:r>
      <w:r w:rsidRPr="007A505A">
        <w:rPr>
          <w:rFonts w:hint="eastAsia"/>
        </w:rPr>
        <w:t>は許可が必要。</w:t>
      </w:r>
    </w:p>
  </w:footnote>
  <w:footnote w:id="2">
    <w:p w14:paraId="7F95E7A9" w14:textId="77777777" w:rsidR="00574EF3" w:rsidRDefault="00574EF3" w:rsidP="008612EA">
      <w:pPr>
        <w:pStyle w:val="a8"/>
      </w:pPr>
      <w:r>
        <w:rPr>
          <w:rStyle w:val="aa"/>
        </w:rPr>
        <w:footnoteRef/>
      </w:r>
      <w:r>
        <w:rPr>
          <w:rFonts w:hint="eastAsia"/>
        </w:rPr>
        <w:t>出典：一般ガス事業は日本ガス協会『ガス事業便覧』</w:t>
      </w:r>
      <w:r w:rsidRPr="00524294">
        <w:rPr>
          <w:rFonts w:hint="eastAsia"/>
        </w:rPr>
        <w:t>平成</w:t>
      </w:r>
      <w:r w:rsidRPr="00524294">
        <w:t xml:space="preserve">24 </w:t>
      </w:r>
      <w:r>
        <w:rPr>
          <w:rFonts w:hint="eastAsia"/>
        </w:rPr>
        <w:t>年版参照</w:t>
      </w:r>
    </w:p>
  </w:footnote>
  <w:footnote w:id="3">
    <w:p w14:paraId="34E54843" w14:textId="77777777" w:rsidR="00574EF3" w:rsidRPr="005B06E1" w:rsidRDefault="00574EF3" w:rsidP="008612EA">
      <w:pPr>
        <w:pStyle w:val="a8"/>
      </w:pPr>
      <w:r>
        <w:rPr>
          <w:rStyle w:val="aa"/>
        </w:rPr>
        <w:footnoteRef/>
      </w:r>
      <w:r>
        <w:rPr>
          <w:rFonts w:hint="eastAsia"/>
        </w:rPr>
        <w:t>出典：総務省　平成</w:t>
      </w:r>
      <w:r>
        <w:rPr>
          <w:rFonts w:hint="eastAsia"/>
        </w:rPr>
        <w:t>24</w:t>
      </w:r>
      <w:r>
        <w:rPr>
          <w:rFonts w:hint="eastAsia"/>
        </w:rPr>
        <w:t>年度公営企業年鑑参照</w:t>
      </w:r>
    </w:p>
  </w:footnote>
  <w:footnote w:id="4">
    <w:p w14:paraId="0BF56AEC" w14:textId="77777777" w:rsidR="00574EF3" w:rsidRDefault="00574EF3" w:rsidP="00685F6B">
      <w:pPr>
        <w:pStyle w:val="a8"/>
      </w:pPr>
      <w:r>
        <w:rPr>
          <w:rStyle w:val="aa"/>
        </w:rPr>
        <w:footnoteRef/>
      </w:r>
      <w:r>
        <w:t xml:space="preserve"> </w:t>
      </w:r>
      <w:r>
        <w:rPr>
          <w:rFonts w:hint="eastAsia"/>
        </w:rPr>
        <w:t>営業費用と経常利益のグラフの色は民営化事業者・公営事業者のそれぞれで同一事業者を表す。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340"/>
    <w:multiLevelType w:val="hybridMultilevel"/>
    <w:tmpl w:val="A6AEE40E"/>
    <w:lvl w:ilvl="0" w:tplc="8496EEFC">
      <w:start w:val="1"/>
      <w:numFmt w:val="bullet"/>
      <w:lvlText w:val=""/>
      <w:lvlJc w:val="left"/>
      <w:pPr>
        <w:tabs>
          <w:tab w:val="num" w:pos="720"/>
        </w:tabs>
        <w:ind w:left="720" w:hanging="360"/>
      </w:pPr>
      <w:rPr>
        <w:rFonts w:ascii="Wingdings 2" w:hAnsi="Wingdings 2" w:hint="default"/>
      </w:rPr>
    </w:lvl>
    <w:lvl w:ilvl="1" w:tplc="E8F47E7C" w:tentative="1">
      <w:start w:val="1"/>
      <w:numFmt w:val="bullet"/>
      <w:lvlText w:val=""/>
      <w:lvlJc w:val="left"/>
      <w:pPr>
        <w:tabs>
          <w:tab w:val="num" w:pos="1440"/>
        </w:tabs>
        <w:ind w:left="1440" w:hanging="360"/>
      </w:pPr>
      <w:rPr>
        <w:rFonts w:ascii="Wingdings 2" w:hAnsi="Wingdings 2" w:hint="default"/>
      </w:rPr>
    </w:lvl>
    <w:lvl w:ilvl="2" w:tplc="C67E791A" w:tentative="1">
      <w:start w:val="1"/>
      <w:numFmt w:val="bullet"/>
      <w:lvlText w:val=""/>
      <w:lvlJc w:val="left"/>
      <w:pPr>
        <w:tabs>
          <w:tab w:val="num" w:pos="2160"/>
        </w:tabs>
        <w:ind w:left="2160" w:hanging="360"/>
      </w:pPr>
      <w:rPr>
        <w:rFonts w:ascii="Wingdings 2" w:hAnsi="Wingdings 2" w:hint="default"/>
      </w:rPr>
    </w:lvl>
    <w:lvl w:ilvl="3" w:tplc="7DD829A0" w:tentative="1">
      <w:start w:val="1"/>
      <w:numFmt w:val="bullet"/>
      <w:lvlText w:val=""/>
      <w:lvlJc w:val="left"/>
      <w:pPr>
        <w:tabs>
          <w:tab w:val="num" w:pos="2880"/>
        </w:tabs>
        <w:ind w:left="2880" w:hanging="360"/>
      </w:pPr>
      <w:rPr>
        <w:rFonts w:ascii="Wingdings 2" w:hAnsi="Wingdings 2" w:hint="default"/>
      </w:rPr>
    </w:lvl>
    <w:lvl w:ilvl="4" w:tplc="245E742A" w:tentative="1">
      <w:start w:val="1"/>
      <w:numFmt w:val="bullet"/>
      <w:lvlText w:val=""/>
      <w:lvlJc w:val="left"/>
      <w:pPr>
        <w:tabs>
          <w:tab w:val="num" w:pos="3600"/>
        </w:tabs>
        <w:ind w:left="3600" w:hanging="360"/>
      </w:pPr>
      <w:rPr>
        <w:rFonts w:ascii="Wingdings 2" w:hAnsi="Wingdings 2" w:hint="default"/>
      </w:rPr>
    </w:lvl>
    <w:lvl w:ilvl="5" w:tplc="0056499C" w:tentative="1">
      <w:start w:val="1"/>
      <w:numFmt w:val="bullet"/>
      <w:lvlText w:val=""/>
      <w:lvlJc w:val="left"/>
      <w:pPr>
        <w:tabs>
          <w:tab w:val="num" w:pos="4320"/>
        </w:tabs>
        <w:ind w:left="4320" w:hanging="360"/>
      </w:pPr>
      <w:rPr>
        <w:rFonts w:ascii="Wingdings 2" w:hAnsi="Wingdings 2" w:hint="default"/>
      </w:rPr>
    </w:lvl>
    <w:lvl w:ilvl="6" w:tplc="6D36301E" w:tentative="1">
      <w:start w:val="1"/>
      <w:numFmt w:val="bullet"/>
      <w:lvlText w:val=""/>
      <w:lvlJc w:val="left"/>
      <w:pPr>
        <w:tabs>
          <w:tab w:val="num" w:pos="5040"/>
        </w:tabs>
        <w:ind w:left="5040" w:hanging="360"/>
      </w:pPr>
      <w:rPr>
        <w:rFonts w:ascii="Wingdings 2" w:hAnsi="Wingdings 2" w:hint="default"/>
      </w:rPr>
    </w:lvl>
    <w:lvl w:ilvl="7" w:tplc="5DFAADEE" w:tentative="1">
      <w:start w:val="1"/>
      <w:numFmt w:val="bullet"/>
      <w:lvlText w:val=""/>
      <w:lvlJc w:val="left"/>
      <w:pPr>
        <w:tabs>
          <w:tab w:val="num" w:pos="5760"/>
        </w:tabs>
        <w:ind w:left="5760" w:hanging="360"/>
      </w:pPr>
      <w:rPr>
        <w:rFonts w:ascii="Wingdings 2" w:hAnsi="Wingdings 2" w:hint="default"/>
      </w:rPr>
    </w:lvl>
    <w:lvl w:ilvl="8" w:tplc="0012FB26" w:tentative="1">
      <w:start w:val="1"/>
      <w:numFmt w:val="bullet"/>
      <w:lvlText w:val=""/>
      <w:lvlJc w:val="left"/>
      <w:pPr>
        <w:tabs>
          <w:tab w:val="num" w:pos="6480"/>
        </w:tabs>
        <w:ind w:left="6480" w:hanging="360"/>
      </w:pPr>
      <w:rPr>
        <w:rFonts w:ascii="Wingdings 2" w:hAnsi="Wingdings 2" w:hint="default"/>
      </w:rPr>
    </w:lvl>
  </w:abstractNum>
  <w:abstractNum w:abstractNumId="1">
    <w:nsid w:val="0506632B"/>
    <w:multiLevelType w:val="hybridMultilevel"/>
    <w:tmpl w:val="67384214"/>
    <w:lvl w:ilvl="0" w:tplc="65C827CC">
      <w:start w:val="1"/>
      <w:numFmt w:val="bullet"/>
      <w:lvlText w:val=""/>
      <w:lvlJc w:val="left"/>
      <w:pPr>
        <w:tabs>
          <w:tab w:val="num" w:pos="720"/>
        </w:tabs>
        <w:ind w:left="720" w:hanging="360"/>
      </w:pPr>
      <w:rPr>
        <w:rFonts w:ascii="Wingdings 2" w:hAnsi="Wingdings 2" w:hint="default"/>
      </w:rPr>
    </w:lvl>
    <w:lvl w:ilvl="1" w:tplc="448408D2" w:tentative="1">
      <w:start w:val="1"/>
      <w:numFmt w:val="bullet"/>
      <w:lvlText w:val=""/>
      <w:lvlJc w:val="left"/>
      <w:pPr>
        <w:tabs>
          <w:tab w:val="num" w:pos="1440"/>
        </w:tabs>
        <w:ind w:left="1440" w:hanging="360"/>
      </w:pPr>
      <w:rPr>
        <w:rFonts w:ascii="Wingdings 2" w:hAnsi="Wingdings 2" w:hint="default"/>
      </w:rPr>
    </w:lvl>
    <w:lvl w:ilvl="2" w:tplc="C4A0BDE2" w:tentative="1">
      <w:start w:val="1"/>
      <w:numFmt w:val="bullet"/>
      <w:lvlText w:val=""/>
      <w:lvlJc w:val="left"/>
      <w:pPr>
        <w:tabs>
          <w:tab w:val="num" w:pos="2160"/>
        </w:tabs>
        <w:ind w:left="2160" w:hanging="360"/>
      </w:pPr>
      <w:rPr>
        <w:rFonts w:ascii="Wingdings 2" w:hAnsi="Wingdings 2" w:hint="default"/>
      </w:rPr>
    </w:lvl>
    <w:lvl w:ilvl="3" w:tplc="1F74E53E" w:tentative="1">
      <w:start w:val="1"/>
      <w:numFmt w:val="bullet"/>
      <w:lvlText w:val=""/>
      <w:lvlJc w:val="left"/>
      <w:pPr>
        <w:tabs>
          <w:tab w:val="num" w:pos="2880"/>
        </w:tabs>
        <w:ind w:left="2880" w:hanging="360"/>
      </w:pPr>
      <w:rPr>
        <w:rFonts w:ascii="Wingdings 2" w:hAnsi="Wingdings 2" w:hint="default"/>
      </w:rPr>
    </w:lvl>
    <w:lvl w:ilvl="4" w:tplc="0986AB82" w:tentative="1">
      <w:start w:val="1"/>
      <w:numFmt w:val="bullet"/>
      <w:lvlText w:val=""/>
      <w:lvlJc w:val="left"/>
      <w:pPr>
        <w:tabs>
          <w:tab w:val="num" w:pos="3600"/>
        </w:tabs>
        <w:ind w:left="3600" w:hanging="360"/>
      </w:pPr>
      <w:rPr>
        <w:rFonts w:ascii="Wingdings 2" w:hAnsi="Wingdings 2" w:hint="default"/>
      </w:rPr>
    </w:lvl>
    <w:lvl w:ilvl="5" w:tplc="3EE68598" w:tentative="1">
      <w:start w:val="1"/>
      <w:numFmt w:val="bullet"/>
      <w:lvlText w:val=""/>
      <w:lvlJc w:val="left"/>
      <w:pPr>
        <w:tabs>
          <w:tab w:val="num" w:pos="4320"/>
        </w:tabs>
        <w:ind w:left="4320" w:hanging="360"/>
      </w:pPr>
      <w:rPr>
        <w:rFonts w:ascii="Wingdings 2" w:hAnsi="Wingdings 2" w:hint="default"/>
      </w:rPr>
    </w:lvl>
    <w:lvl w:ilvl="6" w:tplc="920C60E0" w:tentative="1">
      <w:start w:val="1"/>
      <w:numFmt w:val="bullet"/>
      <w:lvlText w:val=""/>
      <w:lvlJc w:val="left"/>
      <w:pPr>
        <w:tabs>
          <w:tab w:val="num" w:pos="5040"/>
        </w:tabs>
        <w:ind w:left="5040" w:hanging="360"/>
      </w:pPr>
      <w:rPr>
        <w:rFonts w:ascii="Wingdings 2" w:hAnsi="Wingdings 2" w:hint="default"/>
      </w:rPr>
    </w:lvl>
    <w:lvl w:ilvl="7" w:tplc="EF3C831C" w:tentative="1">
      <w:start w:val="1"/>
      <w:numFmt w:val="bullet"/>
      <w:lvlText w:val=""/>
      <w:lvlJc w:val="left"/>
      <w:pPr>
        <w:tabs>
          <w:tab w:val="num" w:pos="5760"/>
        </w:tabs>
        <w:ind w:left="5760" w:hanging="360"/>
      </w:pPr>
      <w:rPr>
        <w:rFonts w:ascii="Wingdings 2" w:hAnsi="Wingdings 2" w:hint="default"/>
      </w:rPr>
    </w:lvl>
    <w:lvl w:ilvl="8" w:tplc="598A7178" w:tentative="1">
      <w:start w:val="1"/>
      <w:numFmt w:val="bullet"/>
      <w:lvlText w:val=""/>
      <w:lvlJc w:val="left"/>
      <w:pPr>
        <w:tabs>
          <w:tab w:val="num" w:pos="6480"/>
        </w:tabs>
        <w:ind w:left="6480" w:hanging="360"/>
      </w:pPr>
      <w:rPr>
        <w:rFonts w:ascii="Wingdings 2" w:hAnsi="Wingdings 2" w:hint="default"/>
      </w:rPr>
    </w:lvl>
  </w:abstractNum>
  <w:abstractNum w:abstractNumId="2">
    <w:nsid w:val="238157A8"/>
    <w:multiLevelType w:val="hybridMultilevel"/>
    <w:tmpl w:val="146A7066"/>
    <w:lvl w:ilvl="0" w:tplc="836E8DCA">
      <w:start w:val="1"/>
      <w:numFmt w:val="bullet"/>
      <w:lvlText w:val=""/>
      <w:lvlJc w:val="left"/>
      <w:pPr>
        <w:tabs>
          <w:tab w:val="num" w:pos="720"/>
        </w:tabs>
        <w:ind w:left="720" w:hanging="360"/>
      </w:pPr>
      <w:rPr>
        <w:rFonts w:ascii="Wingdings 2" w:hAnsi="Wingdings 2" w:hint="default"/>
      </w:rPr>
    </w:lvl>
    <w:lvl w:ilvl="1" w:tplc="019C00FA" w:tentative="1">
      <w:start w:val="1"/>
      <w:numFmt w:val="bullet"/>
      <w:lvlText w:val=""/>
      <w:lvlJc w:val="left"/>
      <w:pPr>
        <w:tabs>
          <w:tab w:val="num" w:pos="1440"/>
        </w:tabs>
        <w:ind w:left="1440" w:hanging="360"/>
      </w:pPr>
      <w:rPr>
        <w:rFonts w:ascii="Wingdings 2" w:hAnsi="Wingdings 2" w:hint="default"/>
      </w:rPr>
    </w:lvl>
    <w:lvl w:ilvl="2" w:tplc="C32CE2DA" w:tentative="1">
      <w:start w:val="1"/>
      <w:numFmt w:val="bullet"/>
      <w:lvlText w:val=""/>
      <w:lvlJc w:val="left"/>
      <w:pPr>
        <w:tabs>
          <w:tab w:val="num" w:pos="2160"/>
        </w:tabs>
        <w:ind w:left="2160" w:hanging="360"/>
      </w:pPr>
      <w:rPr>
        <w:rFonts w:ascii="Wingdings 2" w:hAnsi="Wingdings 2" w:hint="default"/>
      </w:rPr>
    </w:lvl>
    <w:lvl w:ilvl="3" w:tplc="6570047A" w:tentative="1">
      <w:start w:val="1"/>
      <w:numFmt w:val="bullet"/>
      <w:lvlText w:val=""/>
      <w:lvlJc w:val="left"/>
      <w:pPr>
        <w:tabs>
          <w:tab w:val="num" w:pos="2880"/>
        </w:tabs>
        <w:ind w:left="2880" w:hanging="360"/>
      </w:pPr>
      <w:rPr>
        <w:rFonts w:ascii="Wingdings 2" w:hAnsi="Wingdings 2" w:hint="default"/>
      </w:rPr>
    </w:lvl>
    <w:lvl w:ilvl="4" w:tplc="28EA2352" w:tentative="1">
      <w:start w:val="1"/>
      <w:numFmt w:val="bullet"/>
      <w:lvlText w:val=""/>
      <w:lvlJc w:val="left"/>
      <w:pPr>
        <w:tabs>
          <w:tab w:val="num" w:pos="3600"/>
        </w:tabs>
        <w:ind w:left="3600" w:hanging="360"/>
      </w:pPr>
      <w:rPr>
        <w:rFonts w:ascii="Wingdings 2" w:hAnsi="Wingdings 2" w:hint="default"/>
      </w:rPr>
    </w:lvl>
    <w:lvl w:ilvl="5" w:tplc="859C1BD0" w:tentative="1">
      <w:start w:val="1"/>
      <w:numFmt w:val="bullet"/>
      <w:lvlText w:val=""/>
      <w:lvlJc w:val="left"/>
      <w:pPr>
        <w:tabs>
          <w:tab w:val="num" w:pos="4320"/>
        </w:tabs>
        <w:ind w:left="4320" w:hanging="360"/>
      </w:pPr>
      <w:rPr>
        <w:rFonts w:ascii="Wingdings 2" w:hAnsi="Wingdings 2" w:hint="default"/>
      </w:rPr>
    </w:lvl>
    <w:lvl w:ilvl="6" w:tplc="6F1013B0" w:tentative="1">
      <w:start w:val="1"/>
      <w:numFmt w:val="bullet"/>
      <w:lvlText w:val=""/>
      <w:lvlJc w:val="left"/>
      <w:pPr>
        <w:tabs>
          <w:tab w:val="num" w:pos="5040"/>
        </w:tabs>
        <w:ind w:left="5040" w:hanging="360"/>
      </w:pPr>
      <w:rPr>
        <w:rFonts w:ascii="Wingdings 2" w:hAnsi="Wingdings 2" w:hint="default"/>
      </w:rPr>
    </w:lvl>
    <w:lvl w:ilvl="7" w:tplc="A43C2F2A" w:tentative="1">
      <w:start w:val="1"/>
      <w:numFmt w:val="bullet"/>
      <w:lvlText w:val=""/>
      <w:lvlJc w:val="left"/>
      <w:pPr>
        <w:tabs>
          <w:tab w:val="num" w:pos="5760"/>
        </w:tabs>
        <w:ind w:left="5760" w:hanging="360"/>
      </w:pPr>
      <w:rPr>
        <w:rFonts w:ascii="Wingdings 2" w:hAnsi="Wingdings 2" w:hint="default"/>
      </w:rPr>
    </w:lvl>
    <w:lvl w:ilvl="8" w:tplc="DEDE88BE" w:tentative="1">
      <w:start w:val="1"/>
      <w:numFmt w:val="bullet"/>
      <w:lvlText w:val=""/>
      <w:lvlJc w:val="left"/>
      <w:pPr>
        <w:tabs>
          <w:tab w:val="num" w:pos="6480"/>
        </w:tabs>
        <w:ind w:left="6480" w:hanging="360"/>
      </w:pPr>
      <w:rPr>
        <w:rFonts w:ascii="Wingdings 2" w:hAnsi="Wingdings 2" w:hint="default"/>
      </w:rPr>
    </w:lvl>
  </w:abstractNum>
  <w:abstractNum w:abstractNumId="3">
    <w:nsid w:val="37363FCD"/>
    <w:multiLevelType w:val="hybridMultilevel"/>
    <w:tmpl w:val="A8983B40"/>
    <w:lvl w:ilvl="0" w:tplc="882C6500">
      <w:start w:val="1"/>
      <w:numFmt w:val="bullet"/>
      <w:lvlText w:val=""/>
      <w:lvlJc w:val="left"/>
      <w:pPr>
        <w:tabs>
          <w:tab w:val="num" w:pos="720"/>
        </w:tabs>
        <w:ind w:left="720" w:hanging="360"/>
      </w:pPr>
      <w:rPr>
        <w:rFonts w:ascii="Wingdings 2" w:hAnsi="Wingdings 2" w:hint="default"/>
      </w:rPr>
    </w:lvl>
    <w:lvl w:ilvl="1" w:tplc="18CE116E" w:tentative="1">
      <w:start w:val="1"/>
      <w:numFmt w:val="bullet"/>
      <w:lvlText w:val=""/>
      <w:lvlJc w:val="left"/>
      <w:pPr>
        <w:tabs>
          <w:tab w:val="num" w:pos="1440"/>
        </w:tabs>
        <w:ind w:left="1440" w:hanging="360"/>
      </w:pPr>
      <w:rPr>
        <w:rFonts w:ascii="Wingdings 2" w:hAnsi="Wingdings 2" w:hint="default"/>
      </w:rPr>
    </w:lvl>
    <w:lvl w:ilvl="2" w:tplc="253E3D0C" w:tentative="1">
      <w:start w:val="1"/>
      <w:numFmt w:val="bullet"/>
      <w:lvlText w:val=""/>
      <w:lvlJc w:val="left"/>
      <w:pPr>
        <w:tabs>
          <w:tab w:val="num" w:pos="2160"/>
        </w:tabs>
        <w:ind w:left="2160" w:hanging="360"/>
      </w:pPr>
      <w:rPr>
        <w:rFonts w:ascii="Wingdings 2" w:hAnsi="Wingdings 2" w:hint="default"/>
      </w:rPr>
    </w:lvl>
    <w:lvl w:ilvl="3" w:tplc="5F42F846" w:tentative="1">
      <w:start w:val="1"/>
      <w:numFmt w:val="bullet"/>
      <w:lvlText w:val=""/>
      <w:lvlJc w:val="left"/>
      <w:pPr>
        <w:tabs>
          <w:tab w:val="num" w:pos="2880"/>
        </w:tabs>
        <w:ind w:left="2880" w:hanging="360"/>
      </w:pPr>
      <w:rPr>
        <w:rFonts w:ascii="Wingdings 2" w:hAnsi="Wingdings 2" w:hint="default"/>
      </w:rPr>
    </w:lvl>
    <w:lvl w:ilvl="4" w:tplc="32207954" w:tentative="1">
      <w:start w:val="1"/>
      <w:numFmt w:val="bullet"/>
      <w:lvlText w:val=""/>
      <w:lvlJc w:val="left"/>
      <w:pPr>
        <w:tabs>
          <w:tab w:val="num" w:pos="3600"/>
        </w:tabs>
        <w:ind w:left="3600" w:hanging="360"/>
      </w:pPr>
      <w:rPr>
        <w:rFonts w:ascii="Wingdings 2" w:hAnsi="Wingdings 2" w:hint="default"/>
      </w:rPr>
    </w:lvl>
    <w:lvl w:ilvl="5" w:tplc="0C28C08A" w:tentative="1">
      <w:start w:val="1"/>
      <w:numFmt w:val="bullet"/>
      <w:lvlText w:val=""/>
      <w:lvlJc w:val="left"/>
      <w:pPr>
        <w:tabs>
          <w:tab w:val="num" w:pos="4320"/>
        </w:tabs>
        <w:ind w:left="4320" w:hanging="360"/>
      </w:pPr>
      <w:rPr>
        <w:rFonts w:ascii="Wingdings 2" w:hAnsi="Wingdings 2" w:hint="default"/>
      </w:rPr>
    </w:lvl>
    <w:lvl w:ilvl="6" w:tplc="129E735C" w:tentative="1">
      <w:start w:val="1"/>
      <w:numFmt w:val="bullet"/>
      <w:lvlText w:val=""/>
      <w:lvlJc w:val="left"/>
      <w:pPr>
        <w:tabs>
          <w:tab w:val="num" w:pos="5040"/>
        </w:tabs>
        <w:ind w:left="5040" w:hanging="360"/>
      </w:pPr>
      <w:rPr>
        <w:rFonts w:ascii="Wingdings 2" w:hAnsi="Wingdings 2" w:hint="default"/>
      </w:rPr>
    </w:lvl>
    <w:lvl w:ilvl="7" w:tplc="27D0AD7A" w:tentative="1">
      <w:start w:val="1"/>
      <w:numFmt w:val="bullet"/>
      <w:lvlText w:val=""/>
      <w:lvlJc w:val="left"/>
      <w:pPr>
        <w:tabs>
          <w:tab w:val="num" w:pos="5760"/>
        </w:tabs>
        <w:ind w:left="5760" w:hanging="360"/>
      </w:pPr>
      <w:rPr>
        <w:rFonts w:ascii="Wingdings 2" w:hAnsi="Wingdings 2" w:hint="default"/>
      </w:rPr>
    </w:lvl>
    <w:lvl w:ilvl="8" w:tplc="B1F0F894" w:tentative="1">
      <w:start w:val="1"/>
      <w:numFmt w:val="bullet"/>
      <w:lvlText w:val=""/>
      <w:lvlJc w:val="left"/>
      <w:pPr>
        <w:tabs>
          <w:tab w:val="num" w:pos="6480"/>
        </w:tabs>
        <w:ind w:left="6480" w:hanging="360"/>
      </w:pPr>
      <w:rPr>
        <w:rFonts w:ascii="Wingdings 2" w:hAnsi="Wingdings 2" w:hint="default"/>
      </w:rPr>
    </w:lvl>
  </w:abstractNum>
  <w:abstractNum w:abstractNumId="4">
    <w:nsid w:val="40030154"/>
    <w:multiLevelType w:val="hybridMultilevel"/>
    <w:tmpl w:val="62721DFA"/>
    <w:lvl w:ilvl="0" w:tplc="610EC91E">
      <w:start w:val="1"/>
      <w:numFmt w:val="bullet"/>
      <w:lvlText w:val=""/>
      <w:lvlJc w:val="left"/>
      <w:pPr>
        <w:tabs>
          <w:tab w:val="num" w:pos="720"/>
        </w:tabs>
        <w:ind w:left="720" w:hanging="360"/>
      </w:pPr>
      <w:rPr>
        <w:rFonts w:ascii="Wingdings 2" w:hAnsi="Wingdings 2" w:hint="default"/>
      </w:rPr>
    </w:lvl>
    <w:lvl w:ilvl="1" w:tplc="2060829C" w:tentative="1">
      <w:start w:val="1"/>
      <w:numFmt w:val="bullet"/>
      <w:lvlText w:val=""/>
      <w:lvlJc w:val="left"/>
      <w:pPr>
        <w:tabs>
          <w:tab w:val="num" w:pos="1440"/>
        </w:tabs>
        <w:ind w:left="1440" w:hanging="360"/>
      </w:pPr>
      <w:rPr>
        <w:rFonts w:ascii="Wingdings 2" w:hAnsi="Wingdings 2" w:hint="default"/>
      </w:rPr>
    </w:lvl>
    <w:lvl w:ilvl="2" w:tplc="235A99B0" w:tentative="1">
      <w:start w:val="1"/>
      <w:numFmt w:val="bullet"/>
      <w:lvlText w:val=""/>
      <w:lvlJc w:val="left"/>
      <w:pPr>
        <w:tabs>
          <w:tab w:val="num" w:pos="2160"/>
        </w:tabs>
        <w:ind w:left="2160" w:hanging="360"/>
      </w:pPr>
      <w:rPr>
        <w:rFonts w:ascii="Wingdings 2" w:hAnsi="Wingdings 2" w:hint="default"/>
      </w:rPr>
    </w:lvl>
    <w:lvl w:ilvl="3" w:tplc="8C146DB2" w:tentative="1">
      <w:start w:val="1"/>
      <w:numFmt w:val="bullet"/>
      <w:lvlText w:val=""/>
      <w:lvlJc w:val="left"/>
      <w:pPr>
        <w:tabs>
          <w:tab w:val="num" w:pos="2880"/>
        </w:tabs>
        <w:ind w:left="2880" w:hanging="360"/>
      </w:pPr>
      <w:rPr>
        <w:rFonts w:ascii="Wingdings 2" w:hAnsi="Wingdings 2" w:hint="default"/>
      </w:rPr>
    </w:lvl>
    <w:lvl w:ilvl="4" w:tplc="D7AA4634" w:tentative="1">
      <w:start w:val="1"/>
      <w:numFmt w:val="bullet"/>
      <w:lvlText w:val=""/>
      <w:lvlJc w:val="left"/>
      <w:pPr>
        <w:tabs>
          <w:tab w:val="num" w:pos="3600"/>
        </w:tabs>
        <w:ind w:left="3600" w:hanging="360"/>
      </w:pPr>
      <w:rPr>
        <w:rFonts w:ascii="Wingdings 2" w:hAnsi="Wingdings 2" w:hint="default"/>
      </w:rPr>
    </w:lvl>
    <w:lvl w:ilvl="5" w:tplc="B844B7B4" w:tentative="1">
      <w:start w:val="1"/>
      <w:numFmt w:val="bullet"/>
      <w:lvlText w:val=""/>
      <w:lvlJc w:val="left"/>
      <w:pPr>
        <w:tabs>
          <w:tab w:val="num" w:pos="4320"/>
        </w:tabs>
        <w:ind w:left="4320" w:hanging="360"/>
      </w:pPr>
      <w:rPr>
        <w:rFonts w:ascii="Wingdings 2" w:hAnsi="Wingdings 2" w:hint="default"/>
      </w:rPr>
    </w:lvl>
    <w:lvl w:ilvl="6" w:tplc="0CEC2912" w:tentative="1">
      <w:start w:val="1"/>
      <w:numFmt w:val="bullet"/>
      <w:lvlText w:val=""/>
      <w:lvlJc w:val="left"/>
      <w:pPr>
        <w:tabs>
          <w:tab w:val="num" w:pos="5040"/>
        </w:tabs>
        <w:ind w:left="5040" w:hanging="360"/>
      </w:pPr>
      <w:rPr>
        <w:rFonts w:ascii="Wingdings 2" w:hAnsi="Wingdings 2" w:hint="default"/>
      </w:rPr>
    </w:lvl>
    <w:lvl w:ilvl="7" w:tplc="07F8142A" w:tentative="1">
      <w:start w:val="1"/>
      <w:numFmt w:val="bullet"/>
      <w:lvlText w:val=""/>
      <w:lvlJc w:val="left"/>
      <w:pPr>
        <w:tabs>
          <w:tab w:val="num" w:pos="5760"/>
        </w:tabs>
        <w:ind w:left="5760" w:hanging="360"/>
      </w:pPr>
      <w:rPr>
        <w:rFonts w:ascii="Wingdings 2" w:hAnsi="Wingdings 2" w:hint="default"/>
      </w:rPr>
    </w:lvl>
    <w:lvl w:ilvl="8" w:tplc="E4D2EE9A" w:tentative="1">
      <w:start w:val="1"/>
      <w:numFmt w:val="bullet"/>
      <w:lvlText w:val=""/>
      <w:lvlJc w:val="left"/>
      <w:pPr>
        <w:tabs>
          <w:tab w:val="num" w:pos="6480"/>
        </w:tabs>
        <w:ind w:left="6480" w:hanging="360"/>
      </w:pPr>
      <w:rPr>
        <w:rFonts w:ascii="Wingdings 2" w:hAnsi="Wingdings 2" w:hint="default"/>
      </w:rPr>
    </w:lvl>
  </w:abstractNum>
  <w:abstractNum w:abstractNumId="5">
    <w:nsid w:val="546864F6"/>
    <w:multiLevelType w:val="hybridMultilevel"/>
    <w:tmpl w:val="25A44A46"/>
    <w:lvl w:ilvl="0" w:tplc="E8B02AEA">
      <w:start w:val="1"/>
      <w:numFmt w:val="decimalEnclosedCircle"/>
      <w:lvlText w:val="%1"/>
      <w:lvlJc w:val="left"/>
      <w:pPr>
        <w:ind w:left="360" w:hanging="360"/>
      </w:pPr>
      <w:rPr>
        <w:rFonts w:hint="default"/>
      </w:rPr>
    </w:lvl>
    <w:lvl w:ilvl="1" w:tplc="BAFC0C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4918AB"/>
    <w:multiLevelType w:val="hybridMultilevel"/>
    <w:tmpl w:val="16842872"/>
    <w:lvl w:ilvl="0" w:tplc="03A0716E">
      <w:start w:val="1"/>
      <w:numFmt w:val="bullet"/>
      <w:lvlText w:val=""/>
      <w:lvlJc w:val="left"/>
      <w:pPr>
        <w:tabs>
          <w:tab w:val="num" w:pos="720"/>
        </w:tabs>
        <w:ind w:left="720" w:hanging="360"/>
      </w:pPr>
      <w:rPr>
        <w:rFonts w:ascii="Wingdings 2" w:hAnsi="Wingdings 2" w:hint="default"/>
      </w:rPr>
    </w:lvl>
    <w:lvl w:ilvl="1" w:tplc="1DC0AD98" w:tentative="1">
      <w:start w:val="1"/>
      <w:numFmt w:val="bullet"/>
      <w:lvlText w:val=""/>
      <w:lvlJc w:val="left"/>
      <w:pPr>
        <w:tabs>
          <w:tab w:val="num" w:pos="1440"/>
        </w:tabs>
        <w:ind w:left="1440" w:hanging="360"/>
      </w:pPr>
      <w:rPr>
        <w:rFonts w:ascii="Wingdings 2" w:hAnsi="Wingdings 2" w:hint="default"/>
      </w:rPr>
    </w:lvl>
    <w:lvl w:ilvl="2" w:tplc="0DC811EC" w:tentative="1">
      <w:start w:val="1"/>
      <w:numFmt w:val="bullet"/>
      <w:lvlText w:val=""/>
      <w:lvlJc w:val="left"/>
      <w:pPr>
        <w:tabs>
          <w:tab w:val="num" w:pos="2160"/>
        </w:tabs>
        <w:ind w:left="2160" w:hanging="360"/>
      </w:pPr>
      <w:rPr>
        <w:rFonts w:ascii="Wingdings 2" w:hAnsi="Wingdings 2" w:hint="default"/>
      </w:rPr>
    </w:lvl>
    <w:lvl w:ilvl="3" w:tplc="F66C2036" w:tentative="1">
      <w:start w:val="1"/>
      <w:numFmt w:val="bullet"/>
      <w:lvlText w:val=""/>
      <w:lvlJc w:val="left"/>
      <w:pPr>
        <w:tabs>
          <w:tab w:val="num" w:pos="2880"/>
        </w:tabs>
        <w:ind w:left="2880" w:hanging="360"/>
      </w:pPr>
      <w:rPr>
        <w:rFonts w:ascii="Wingdings 2" w:hAnsi="Wingdings 2" w:hint="default"/>
      </w:rPr>
    </w:lvl>
    <w:lvl w:ilvl="4" w:tplc="17A8FA88" w:tentative="1">
      <w:start w:val="1"/>
      <w:numFmt w:val="bullet"/>
      <w:lvlText w:val=""/>
      <w:lvlJc w:val="left"/>
      <w:pPr>
        <w:tabs>
          <w:tab w:val="num" w:pos="3600"/>
        </w:tabs>
        <w:ind w:left="3600" w:hanging="360"/>
      </w:pPr>
      <w:rPr>
        <w:rFonts w:ascii="Wingdings 2" w:hAnsi="Wingdings 2" w:hint="default"/>
      </w:rPr>
    </w:lvl>
    <w:lvl w:ilvl="5" w:tplc="D1EE3E42" w:tentative="1">
      <w:start w:val="1"/>
      <w:numFmt w:val="bullet"/>
      <w:lvlText w:val=""/>
      <w:lvlJc w:val="left"/>
      <w:pPr>
        <w:tabs>
          <w:tab w:val="num" w:pos="4320"/>
        </w:tabs>
        <w:ind w:left="4320" w:hanging="360"/>
      </w:pPr>
      <w:rPr>
        <w:rFonts w:ascii="Wingdings 2" w:hAnsi="Wingdings 2" w:hint="default"/>
      </w:rPr>
    </w:lvl>
    <w:lvl w:ilvl="6" w:tplc="C0A61B46" w:tentative="1">
      <w:start w:val="1"/>
      <w:numFmt w:val="bullet"/>
      <w:lvlText w:val=""/>
      <w:lvlJc w:val="left"/>
      <w:pPr>
        <w:tabs>
          <w:tab w:val="num" w:pos="5040"/>
        </w:tabs>
        <w:ind w:left="5040" w:hanging="360"/>
      </w:pPr>
      <w:rPr>
        <w:rFonts w:ascii="Wingdings 2" w:hAnsi="Wingdings 2" w:hint="default"/>
      </w:rPr>
    </w:lvl>
    <w:lvl w:ilvl="7" w:tplc="A9F82AFE" w:tentative="1">
      <w:start w:val="1"/>
      <w:numFmt w:val="bullet"/>
      <w:lvlText w:val=""/>
      <w:lvlJc w:val="left"/>
      <w:pPr>
        <w:tabs>
          <w:tab w:val="num" w:pos="5760"/>
        </w:tabs>
        <w:ind w:left="5760" w:hanging="360"/>
      </w:pPr>
      <w:rPr>
        <w:rFonts w:ascii="Wingdings 2" w:hAnsi="Wingdings 2" w:hint="default"/>
      </w:rPr>
    </w:lvl>
    <w:lvl w:ilvl="8" w:tplc="A5066D20" w:tentative="1">
      <w:start w:val="1"/>
      <w:numFmt w:val="bullet"/>
      <w:lvlText w:val=""/>
      <w:lvlJc w:val="left"/>
      <w:pPr>
        <w:tabs>
          <w:tab w:val="num" w:pos="6480"/>
        </w:tabs>
        <w:ind w:left="6480" w:hanging="360"/>
      </w:pPr>
      <w:rPr>
        <w:rFonts w:ascii="Wingdings 2" w:hAnsi="Wingdings 2" w:hint="default"/>
      </w:rPr>
    </w:lvl>
  </w:abstractNum>
  <w:abstractNum w:abstractNumId="7">
    <w:nsid w:val="7DC96760"/>
    <w:multiLevelType w:val="hybridMultilevel"/>
    <w:tmpl w:val="6F7423F6"/>
    <w:lvl w:ilvl="0" w:tplc="D8245C62">
      <w:start w:val="1"/>
      <w:numFmt w:val="bullet"/>
      <w:lvlText w:val=""/>
      <w:lvlJc w:val="left"/>
      <w:pPr>
        <w:tabs>
          <w:tab w:val="num" w:pos="720"/>
        </w:tabs>
        <w:ind w:left="720" w:hanging="360"/>
      </w:pPr>
      <w:rPr>
        <w:rFonts w:ascii="Wingdings 2" w:hAnsi="Wingdings 2" w:hint="default"/>
      </w:rPr>
    </w:lvl>
    <w:lvl w:ilvl="1" w:tplc="9C701C6A" w:tentative="1">
      <w:start w:val="1"/>
      <w:numFmt w:val="bullet"/>
      <w:lvlText w:val=""/>
      <w:lvlJc w:val="left"/>
      <w:pPr>
        <w:tabs>
          <w:tab w:val="num" w:pos="1440"/>
        </w:tabs>
        <w:ind w:left="1440" w:hanging="360"/>
      </w:pPr>
      <w:rPr>
        <w:rFonts w:ascii="Wingdings 2" w:hAnsi="Wingdings 2" w:hint="default"/>
      </w:rPr>
    </w:lvl>
    <w:lvl w:ilvl="2" w:tplc="52D8AE7C" w:tentative="1">
      <w:start w:val="1"/>
      <w:numFmt w:val="bullet"/>
      <w:lvlText w:val=""/>
      <w:lvlJc w:val="left"/>
      <w:pPr>
        <w:tabs>
          <w:tab w:val="num" w:pos="2160"/>
        </w:tabs>
        <w:ind w:left="2160" w:hanging="360"/>
      </w:pPr>
      <w:rPr>
        <w:rFonts w:ascii="Wingdings 2" w:hAnsi="Wingdings 2" w:hint="default"/>
      </w:rPr>
    </w:lvl>
    <w:lvl w:ilvl="3" w:tplc="3EA6BAF4" w:tentative="1">
      <w:start w:val="1"/>
      <w:numFmt w:val="bullet"/>
      <w:lvlText w:val=""/>
      <w:lvlJc w:val="left"/>
      <w:pPr>
        <w:tabs>
          <w:tab w:val="num" w:pos="2880"/>
        </w:tabs>
        <w:ind w:left="2880" w:hanging="360"/>
      </w:pPr>
      <w:rPr>
        <w:rFonts w:ascii="Wingdings 2" w:hAnsi="Wingdings 2" w:hint="default"/>
      </w:rPr>
    </w:lvl>
    <w:lvl w:ilvl="4" w:tplc="C368250A" w:tentative="1">
      <w:start w:val="1"/>
      <w:numFmt w:val="bullet"/>
      <w:lvlText w:val=""/>
      <w:lvlJc w:val="left"/>
      <w:pPr>
        <w:tabs>
          <w:tab w:val="num" w:pos="3600"/>
        </w:tabs>
        <w:ind w:left="3600" w:hanging="360"/>
      </w:pPr>
      <w:rPr>
        <w:rFonts w:ascii="Wingdings 2" w:hAnsi="Wingdings 2" w:hint="default"/>
      </w:rPr>
    </w:lvl>
    <w:lvl w:ilvl="5" w:tplc="6D6070A2" w:tentative="1">
      <w:start w:val="1"/>
      <w:numFmt w:val="bullet"/>
      <w:lvlText w:val=""/>
      <w:lvlJc w:val="left"/>
      <w:pPr>
        <w:tabs>
          <w:tab w:val="num" w:pos="4320"/>
        </w:tabs>
        <w:ind w:left="4320" w:hanging="360"/>
      </w:pPr>
      <w:rPr>
        <w:rFonts w:ascii="Wingdings 2" w:hAnsi="Wingdings 2" w:hint="default"/>
      </w:rPr>
    </w:lvl>
    <w:lvl w:ilvl="6" w:tplc="66C612EA" w:tentative="1">
      <w:start w:val="1"/>
      <w:numFmt w:val="bullet"/>
      <w:lvlText w:val=""/>
      <w:lvlJc w:val="left"/>
      <w:pPr>
        <w:tabs>
          <w:tab w:val="num" w:pos="5040"/>
        </w:tabs>
        <w:ind w:left="5040" w:hanging="360"/>
      </w:pPr>
      <w:rPr>
        <w:rFonts w:ascii="Wingdings 2" w:hAnsi="Wingdings 2" w:hint="default"/>
      </w:rPr>
    </w:lvl>
    <w:lvl w:ilvl="7" w:tplc="F67222A2" w:tentative="1">
      <w:start w:val="1"/>
      <w:numFmt w:val="bullet"/>
      <w:lvlText w:val=""/>
      <w:lvlJc w:val="left"/>
      <w:pPr>
        <w:tabs>
          <w:tab w:val="num" w:pos="5760"/>
        </w:tabs>
        <w:ind w:left="5760" w:hanging="360"/>
      </w:pPr>
      <w:rPr>
        <w:rFonts w:ascii="Wingdings 2" w:hAnsi="Wingdings 2" w:hint="default"/>
      </w:rPr>
    </w:lvl>
    <w:lvl w:ilvl="8" w:tplc="18ACC072"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0"/>
    <w:rsid w:val="00003F84"/>
    <w:rsid w:val="00004D03"/>
    <w:rsid w:val="000054FF"/>
    <w:rsid w:val="0000589E"/>
    <w:rsid w:val="0000663B"/>
    <w:rsid w:val="00006819"/>
    <w:rsid w:val="00006916"/>
    <w:rsid w:val="000106C0"/>
    <w:rsid w:val="00010B40"/>
    <w:rsid w:val="00011413"/>
    <w:rsid w:val="00011BC2"/>
    <w:rsid w:val="00012D4F"/>
    <w:rsid w:val="00012DD9"/>
    <w:rsid w:val="000134E0"/>
    <w:rsid w:val="00014160"/>
    <w:rsid w:val="000148F8"/>
    <w:rsid w:val="00014D12"/>
    <w:rsid w:val="00015714"/>
    <w:rsid w:val="00016A9D"/>
    <w:rsid w:val="00016FD7"/>
    <w:rsid w:val="000171DB"/>
    <w:rsid w:val="0002091E"/>
    <w:rsid w:val="0002093F"/>
    <w:rsid w:val="000214D6"/>
    <w:rsid w:val="00024255"/>
    <w:rsid w:val="00024822"/>
    <w:rsid w:val="00024FE1"/>
    <w:rsid w:val="00025656"/>
    <w:rsid w:val="000262B5"/>
    <w:rsid w:val="0002656A"/>
    <w:rsid w:val="00030827"/>
    <w:rsid w:val="0003082F"/>
    <w:rsid w:val="000314A5"/>
    <w:rsid w:val="0003227D"/>
    <w:rsid w:val="00033657"/>
    <w:rsid w:val="000342F4"/>
    <w:rsid w:val="00034BBE"/>
    <w:rsid w:val="00035228"/>
    <w:rsid w:val="00035BE4"/>
    <w:rsid w:val="00036E2B"/>
    <w:rsid w:val="00037AC8"/>
    <w:rsid w:val="0004227F"/>
    <w:rsid w:val="00043673"/>
    <w:rsid w:val="0004459B"/>
    <w:rsid w:val="00046169"/>
    <w:rsid w:val="00046EB1"/>
    <w:rsid w:val="00047259"/>
    <w:rsid w:val="00047570"/>
    <w:rsid w:val="00051531"/>
    <w:rsid w:val="00052327"/>
    <w:rsid w:val="00054E30"/>
    <w:rsid w:val="00055083"/>
    <w:rsid w:val="00055631"/>
    <w:rsid w:val="00055769"/>
    <w:rsid w:val="00055972"/>
    <w:rsid w:val="00055E1E"/>
    <w:rsid w:val="0005657F"/>
    <w:rsid w:val="00056A0E"/>
    <w:rsid w:val="00056FFC"/>
    <w:rsid w:val="00057416"/>
    <w:rsid w:val="000621B1"/>
    <w:rsid w:val="00062259"/>
    <w:rsid w:val="000628CD"/>
    <w:rsid w:val="00066174"/>
    <w:rsid w:val="00066462"/>
    <w:rsid w:val="000672EA"/>
    <w:rsid w:val="0007020B"/>
    <w:rsid w:val="00071148"/>
    <w:rsid w:val="000719E4"/>
    <w:rsid w:val="000719F4"/>
    <w:rsid w:val="0007201F"/>
    <w:rsid w:val="00072041"/>
    <w:rsid w:val="000728C9"/>
    <w:rsid w:val="00074386"/>
    <w:rsid w:val="000747AC"/>
    <w:rsid w:val="00075ABE"/>
    <w:rsid w:val="0008070E"/>
    <w:rsid w:val="000824FC"/>
    <w:rsid w:val="00082BA8"/>
    <w:rsid w:val="00083324"/>
    <w:rsid w:val="000844DC"/>
    <w:rsid w:val="00084640"/>
    <w:rsid w:val="00084CEB"/>
    <w:rsid w:val="000850C0"/>
    <w:rsid w:val="00091E45"/>
    <w:rsid w:val="0009363C"/>
    <w:rsid w:val="0009375E"/>
    <w:rsid w:val="00095395"/>
    <w:rsid w:val="00095DCA"/>
    <w:rsid w:val="000962AF"/>
    <w:rsid w:val="0009697D"/>
    <w:rsid w:val="00096CCD"/>
    <w:rsid w:val="000A0DD6"/>
    <w:rsid w:val="000A1164"/>
    <w:rsid w:val="000A2232"/>
    <w:rsid w:val="000A3E31"/>
    <w:rsid w:val="000A4760"/>
    <w:rsid w:val="000A7A38"/>
    <w:rsid w:val="000B05AC"/>
    <w:rsid w:val="000B07F6"/>
    <w:rsid w:val="000B182D"/>
    <w:rsid w:val="000B1B3E"/>
    <w:rsid w:val="000B2344"/>
    <w:rsid w:val="000B38F5"/>
    <w:rsid w:val="000B4C1B"/>
    <w:rsid w:val="000B6127"/>
    <w:rsid w:val="000B68DC"/>
    <w:rsid w:val="000B6A3F"/>
    <w:rsid w:val="000C0B13"/>
    <w:rsid w:val="000C21AA"/>
    <w:rsid w:val="000C5613"/>
    <w:rsid w:val="000C5DAE"/>
    <w:rsid w:val="000C7B19"/>
    <w:rsid w:val="000D0035"/>
    <w:rsid w:val="000D1BEA"/>
    <w:rsid w:val="000D1CAB"/>
    <w:rsid w:val="000D4577"/>
    <w:rsid w:val="000D45D8"/>
    <w:rsid w:val="000D5D46"/>
    <w:rsid w:val="000E06E6"/>
    <w:rsid w:val="000E0915"/>
    <w:rsid w:val="000E0D4A"/>
    <w:rsid w:val="000E2CDA"/>
    <w:rsid w:val="000E2D05"/>
    <w:rsid w:val="000E2F57"/>
    <w:rsid w:val="000E3ADF"/>
    <w:rsid w:val="000E4BE6"/>
    <w:rsid w:val="000E675D"/>
    <w:rsid w:val="000E7F64"/>
    <w:rsid w:val="000F1A57"/>
    <w:rsid w:val="000F2D91"/>
    <w:rsid w:val="000F2EBE"/>
    <w:rsid w:val="000F38A9"/>
    <w:rsid w:val="000F3AED"/>
    <w:rsid w:val="000F3C45"/>
    <w:rsid w:val="000F4203"/>
    <w:rsid w:val="000F5A6C"/>
    <w:rsid w:val="000F6036"/>
    <w:rsid w:val="000F6B9E"/>
    <w:rsid w:val="0010044C"/>
    <w:rsid w:val="001005C2"/>
    <w:rsid w:val="00101F33"/>
    <w:rsid w:val="00102CC8"/>
    <w:rsid w:val="00103250"/>
    <w:rsid w:val="00103D39"/>
    <w:rsid w:val="0010410F"/>
    <w:rsid w:val="0010624A"/>
    <w:rsid w:val="001068C3"/>
    <w:rsid w:val="00107E9B"/>
    <w:rsid w:val="001103C2"/>
    <w:rsid w:val="001106AD"/>
    <w:rsid w:val="001114C8"/>
    <w:rsid w:val="00111B1F"/>
    <w:rsid w:val="00112636"/>
    <w:rsid w:val="00112C5C"/>
    <w:rsid w:val="00112F9E"/>
    <w:rsid w:val="00113CF7"/>
    <w:rsid w:val="00114CD1"/>
    <w:rsid w:val="00114DD7"/>
    <w:rsid w:val="00115BA2"/>
    <w:rsid w:val="001170FC"/>
    <w:rsid w:val="0012032A"/>
    <w:rsid w:val="00120678"/>
    <w:rsid w:val="001221A5"/>
    <w:rsid w:val="0012252A"/>
    <w:rsid w:val="001225E2"/>
    <w:rsid w:val="0012532B"/>
    <w:rsid w:val="00125548"/>
    <w:rsid w:val="00125CC5"/>
    <w:rsid w:val="00125D33"/>
    <w:rsid w:val="0012609E"/>
    <w:rsid w:val="00130197"/>
    <w:rsid w:val="001313F8"/>
    <w:rsid w:val="00132AE2"/>
    <w:rsid w:val="001348CA"/>
    <w:rsid w:val="00135CC7"/>
    <w:rsid w:val="001364C0"/>
    <w:rsid w:val="00137497"/>
    <w:rsid w:val="001401C3"/>
    <w:rsid w:val="00140B1B"/>
    <w:rsid w:val="00140C8E"/>
    <w:rsid w:val="00140EAA"/>
    <w:rsid w:val="00141E01"/>
    <w:rsid w:val="001432B3"/>
    <w:rsid w:val="00144B38"/>
    <w:rsid w:val="00144DBC"/>
    <w:rsid w:val="0014552B"/>
    <w:rsid w:val="00146072"/>
    <w:rsid w:val="00147052"/>
    <w:rsid w:val="00147506"/>
    <w:rsid w:val="001478B6"/>
    <w:rsid w:val="0015059A"/>
    <w:rsid w:val="001516FB"/>
    <w:rsid w:val="001547F7"/>
    <w:rsid w:val="00154BC3"/>
    <w:rsid w:val="001556BA"/>
    <w:rsid w:val="00156689"/>
    <w:rsid w:val="00156C70"/>
    <w:rsid w:val="00160CFD"/>
    <w:rsid w:val="00160EC4"/>
    <w:rsid w:val="00160F2B"/>
    <w:rsid w:val="00162D0F"/>
    <w:rsid w:val="00163E5D"/>
    <w:rsid w:val="00165462"/>
    <w:rsid w:val="00166764"/>
    <w:rsid w:val="00166F23"/>
    <w:rsid w:val="0017114D"/>
    <w:rsid w:val="00171222"/>
    <w:rsid w:val="00172B4D"/>
    <w:rsid w:val="00172E78"/>
    <w:rsid w:val="00174B1E"/>
    <w:rsid w:val="001751FB"/>
    <w:rsid w:val="0017641E"/>
    <w:rsid w:val="001768FF"/>
    <w:rsid w:val="001770D8"/>
    <w:rsid w:val="001777E8"/>
    <w:rsid w:val="00177ABE"/>
    <w:rsid w:val="0018096A"/>
    <w:rsid w:val="00181159"/>
    <w:rsid w:val="0018181B"/>
    <w:rsid w:val="00190599"/>
    <w:rsid w:val="0019059D"/>
    <w:rsid w:val="001923CB"/>
    <w:rsid w:val="00192451"/>
    <w:rsid w:val="00192D9A"/>
    <w:rsid w:val="00193091"/>
    <w:rsid w:val="00193A8C"/>
    <w:rsid w:val="00196103"/>
    <w:rsid w:val="0019743E"/>
    <w:rsid w:val="00197CB8"/>
    <w:rsid w:val="001A06A1"/>
    <w:rsid w:val="001A234D"/>
    <w:rsid w:val="001A3ACD"/>
    <w:rsid w:val="001A556B"/>
    <w:rsid w:val="001A7C21"/>
    <w:rsid w:val="001A7DE6"/>
    <w:rsid w:val="001A7E8A"/>
    <w:rsid w:val="001B0685"/>
    <w:rsid w:val="001B0E5E"/>
    <w:rsid w:val="001B23B4"/>
    <w:rsid w:val="001B25B6"/>
    <w:rsid w:val="001B2CD7"/>
    <w:rsid w:val="001B38FF"/>
    <w:rsid w:val="001B3E8A"/>
    <w:rsid w:val="001B42C3"/>
    <w:rsid w:val="001B605A"/>
    <w:rsid w:val="001B6DD9"/>
    <w:rsid w:val="001B704D"/>
    <w:rsid w:val="001C19FE"/>
    <w:rsid w:val="001C241B"/>
    <w:rsid w:val="001C4147"/>
    <w:rsid w:val="001C4D51"/>
    <w:rsid w:val="001C5D0A"/>
    <w:rsid w:val="001C5E12"/>
    <w:rsid w:val="001C754D"/>
    <w:rsid w:val="001D002B"/>
    <w:rsid w:val="001D08C4"/>
    <w:rsid w:val="001D0C01"/>
    <w:rsid w:val="001D0F7C"/>
    <w:rsid w:val="001D0FEB"/>
    <w:rsid w:val="001D27C5"/>
    <w:rsid w:val="001D3E72"/>
    <w:rsid w:val="001D4B6D"/>
    <w:rsid w:val="001D4E5D"/>
    <w:rsid w:val="001D4FBA"/>
    <w:rsid w:val="001D5241"/>
    <w:rsid w:val="001D5D83"/>
    <w:rsid w:val="001D69D9"/>
    <w:rsid w:val="001D7CE6"/>
    <w:rsid w:val="001E0157"/>
    <w:rsid w:val="001E061B"/>
    <w:rsid w:val="001E06D6"/>
    <w:rsid w:val="001E0B05"/>
    <w:rsid w:val="001E4931"/>
    <w:rsid w:val="001E6527"/>
    <w:rsid w:val="001E6C52"/>
    <w:rsid w:val="001E75E0"/>
    <w:rsid w:val="001E7BB5"/>
    <w:rsid w:val="001E7CBF"/>
    <w:rsid w:val="001F1D14"/>
    <w:rsid w:val="001F23FB"/>
    <w:rsid w:val="001F4009"/>
    <w:rsid w:val="001F42BF"/>
    <w:rsid w:val="001F4681"/>
    <w:rsid w:val="001F46B0"/>
    <w:rsid w:val="001F5257"/>
    <w:rsid w:val="001F5B3B"/>
    <w:rsid w:val="001F5C22"/>
    <w:rsid w:val="001F6715"/>
    <w:rsid w:val="001F7203"/>
    <w:rsid w:val="002003E7"/>
    <w:rsid w:val="00200611"/>
    <w:rsid w:val="0020063C"/>
    <w:rsid w:val="00200CF6"/>
    <w:rsid w:val="00201DA4"/>
    <w:rsid w:val="0020266D"/>
    <w:rsid w:val="0020310F"/>
    <w:rsid w:val="002073CA"/>
    <w:rsid w:val="002129B3"/>
    <w:rsid w:val="00212E45"/>
    <w:rsid w:val="0021428B"/>
    <w:rsid w:val="00214C99"/>
    <w:rsid w:val="00215B4D"/>
    <w:rsid w:val="0021650F"/>
    <w:rsid w:val="00216DFC"/>
    <w:rsid w:val="0022037E"/>
    <w:rsid w:val="00220FAF"/>
    <w:rsid w:val="0022310C"/>
    <w:rsid w:val="002235B3"/>
    <w:rsid w:val="00223951"/>
    <w:rsid w:val="002276EB"/>
    <w:rsid w:val="002278F0"/>
    <w:rsid w:val="00227F1B"/>
    <w:rsid w:val="002308B9"/>
    <w:rsid w:val="00230E2B"/>
    <w:rsid w:val="0023265E"/>
    <w:rsid w:val="0023584D"/>
    <w:rsid w:val="0023621E"/>
    <w:rsid w:val="002369FF"/>
    <w:rsid w:val="00236B1A"/>
    <w:rsid w:val="002372B9"/>
    <w:rsid w:val="00237B89"/>
    <w:rsid w:val="002407C1"/>
    <w:rsid w:val="002416BF"/>
    <w:rsid w:val="0024301B"/>
    <w:rsid w:val="00244D2E"/>
    <w:rsid w:val="00244ED7"/>
    <w:rsid w:val="0025090C"/>
    <w:rsid w:val="00251365"/>
    <w:rsid w:val="0025295E"/>
    <w:rsid w:val="00252CE9"/>
    <w:rsid w:val="00253F9D"/>
    <w:rsid w:val="00254BAC"/>
    <w:rsid w:val="00254CEA"/>
    <w:rsid w:val="00255891"/>
    <w:rsid w:val="002569A0"/>
    <w:rsid w:val="00257AF7"/>
    <w:rsid w:val="00263435"/>
    <w:rsid w:val="002636B5"/>
    <w:rsid w:val="00265C8F"/>
    <w:rsid w:val="00267DF6"/>
    <w:rsid w:val="00267F3F"/>
    <w:rsid w:val="002706B2"/>
    <w:rsid w:val="0027088D"/>
    <w:rsid w:val="00270C11"/>
    <w:rsid w:val="00271FE9"/>
    <w:rsid w:val="0027211D"/>
    <w:rsid w:val="0027248A"/>
    <w:rsid w:val="002734FD"/>
    <w:rsid w:val="0027402D"/>
    <w:rsid w:val="00274902"/>
    <w:rsid w:val="00274AB5"/>
    <w:rsid w:val="00274DDF"/>
    <w:rsid w:val="00274E19"/>
    <w:rsid w:val="002754AE"/>
    <w:rsid w:val="00275939"/>
    <w:rsid w:val="0027711A"/>
    <w:rsid w:val="00280447"/>
    <w:rsid w:val="00281014"/>
    <w:rsid w:val="002812CF"/>
    <w:rsid w:val="002819E2"/>
    <w:rsid w:val="00281AF4"/>
    <w:rsid w:val="00283AB7"/>
    <w:rsid w:val="0028658C"/>
    <w:rsid w:val="00287037"/>
    <w:rsid w:val="00287CAF"/>
    <w:rsid w:val="00290D63"/>
    <w:rsid w:val="00290FB3"/>
    <w:rsid w:val="0029188D"/>
    <w:rsid w:val="00292647"/>
    <w:rsid w:val="00292D79"/>
    <w:rsid w:val="0029332C"/>
    <w:rsid w:val="00293740"/>
    <w:rsid w:val="0029403B"/>
    <w:rsid w:val="0029560D"/>
    <w:rsid w:val="00297148"/>
    <w:rsid w:val="002A0F6B"/>
    <w:rsid w:val="002A0FE2"/>
    <w:rsid w:val="002A1FA1"/>
    <w:rsid w:val="002A2E61"/>
    <w:rsid w:val="002A36EF"/>
    <w:rsid w:val="002A5511"/>
    <w:rsid w:val="002A5556"/>
    <w:rsid w:val="002A625B"/>
    <w:rsid w:val="002A6D1F"/>
    <w:rsid w:val="002B000F"/>
    <w:rsid w:val="002B0392"/>
    <w:rsid w:val="002B03F2"/>
    <w:rsid w:val="002B1EE1"/>
    <w:rsid w:val="002B2F94"/>
    <w:rsid w:val="002B314C"/>
    <w:rsid w:val="002B6225"/>
    <w:rsid w:val="002B67D1"/>
    <w:rsid w:val="002B732A"/>
    <w:rsid w:val="002C4626"/>
    <w:rsid w:val="002C4894"/>
    <w:rsid w:val="002C4FCE"/>
    <w:rsid w:val="002C62ED"/>
    <w:rsid w:val="002C6D33"/>
    <w:rsid w:val="002C7A0F"/>
    <w:rsid w:val="002D0522"/>
    <w:rsid w:val="002D1DDD"/>
    <w:rsid w:val="002D255F"/>
    <w:rsid w:val="002D2A90"/>
    <w:rsid w:val="002D4D24"/>
    <w:rsid w:val="002D59AD"/>
    <w:rsid w:val="002D72B8"/>
    <w:rsid w:val="002D759C"/>
    <w:rsid w:val="002E02B2"/>
    <w:rsid w:val="002E15D0"/>
    <w:rsid w:val="002E278A"/>
    <w:rsid w:val="002E45EE"/>
    <w:rsid w:val="002E5A1A"/>
    <w:rsid w:val="002E77D3"/>
    <w:rsid w:val="002E7E5F"/>
    <w:rsid w:val="002F1393"/>
    <w:rsid w:val="002F167E"/>
    <w:rsid w:val="002F18FE"/>
    <w:rsid w:val="002F3693"/>
    <w:rsid w:val="002F439A"/>
    <w:rsid w:val="002F52F3"/>
    <w:rsid w:val="002F5D6A"/>
    <w:rsid w:val="002F65E3"/>
    <w:rsid w:val="00300A5C"/>
    <w:rsid w:val="00304DB7"/>
    <w:rsid w:val="00305F8E"/>
    <w:rsid w:val="00305FC2"/>
    <w:rsid w:val="0030727D"/>
    <w:rsid w:val="003073E3"/>
    <w:rsid w:val="00307990"/>
    <w:rsid w:val="00307F97"/>
    <w:rsid w:val="003110CC"/>
    <w:rsid w:val="003118D6"/>
    <w:rsid w:val="00313D5C"/>
    <w:rsid w:val="00314691"/>
    <w:rsid w:val="00314DEC"/>
    <w:rsid w:val="0031505D"/>
    <w:rsid w:val="00316824"/>
    <w:rsid w:val="003168A7"/>
    <w:rsid w:val="003172C4"/>
    <w:rsid w:val="003178AD"/>
    <w:rsid w:val="00320396"/>
    <w:rsid w:val="003204C6"/>
    <w:rsid w:val="00320791"/>
    <w:rsid w:val="00320957"/>
    <w:rsid w:val="003227AE"/>
    <w:rsid w:val="0032366D"/>
    <w:rsid w:val="00323BA6"/>
    <w:rsid w:val="003248A1"/>
    <w:rsid w:val="00324C45"/>
    <w:rsid w:val="00325616"/>
    <w:rsid w:val="0032624B"/>
    <w:rsid w:val="00326250"/>
    <w:rsid w:val="00326320"/>
    <w:rsid w:val="00326FF5"/>
    <w:rsid w:val="003271DB"/>
    <w:rsid w:val="0032790B"/>
    <w:rsid w:val="00327D95"/>
    <w:rsid w:val="0033122F"/>
    <w:rsid w:val="003317AD"/>
    <w:rsid w:val="003333D0"/>
    <w:rsid w:val="0033482A"/>
    <w:rsid w:val="00334BBF"/>
    <w:rsid w:val="00337FA2"/>
    <w:rsid w:val="00340B15"/>
    <w:rsid w:val="003448F1"/>
    <w:rsid w:val="003468D0"/>
    <w:rsid w:val="0035004D"/>
    <w:rsid w:val="00350892"/>
    <w:rsid w:val="00353053"/>
    <w:rsid w:val="00353647"/>
    <w:rsid w:val="003536BA"/>
    <w:rsid w:val="00354610"/>
    <w:rsid w:val="0035521A"/>
    <w:rsid w:val="00355FE3"/>
    <w:rsid w:val="00357636"/>
    <w:rsid w:val="0035773A"/>
    <w:rsid w:val="0036028E"/>
    <w:rsid w:val="0036077D"/>
    <w:rsid w:val="00360DA9"/>
    <w:rsid w:val="003621B7"/>
    <w:rsid w:val="0036228D"/>
    <w:rsid w:val="00364FA5"/>
    <w:rsid w:val="0036517D"/>
    <w:rsid w:val="00366E2E"/>
    <w:rsid w:val="0037034D"/>
    <w:rsid w:val="0037035C"/>
    <w:rsid w:val="003705AC"/>
    <w:rsid w:val="00372189"/>
    <w:rsid w:val="00372CF8"/>
    <w:rsid w:val="00374FFC"/>
    <w:rsid w:val="00375D21"/>
    <w:rsid w:val="00375FE8"/>
    <w:rsid w:val="00376AAD"/>
    <w:rsid w:val="00377AE5"/>
    <w:rsid w:val="00381018"/>
    <w:rsid w:val="00381244"/>
    <w:rsid w:val="0038227D"/>
    <w:rsid w:val="003823CF"/>
    <w:rsid w:val="0038259C"/>
    <w:rsid w:val="00383EDD"/>
    <w:rsid w:val="00384383"/>
    <w:rsid w:val="0038452E"/>
    <w:rsid w:val="00385901"/>
    <w:rsid w:val="00385E36"/>
    <w:rsid w:val="00387110"/>
    <w:rsid w:val="0038765B"/>
    <w:rsid w:val="00387B89"/>
    <w:rsid w:val="003902B7"/>
    <w:rsid w:val="00390D67"/>
    <w:rsid w:val="0039343D"/>
    <w:rsid w:val="00396274"/>
    <w:rsid w:val="003A0094"/>
    <w:rsid w:val="003A0E22"/>
    <w:rsid w:val="003A0ECB"/>
    <w:rsid w:val="003A1F4B"/>
    <w:rsid w:val="003A2042"/>
    <w:rsid w:val="003A54EB"/>
    <w:rsid w:val="003A60AF"/>
    <w:rsid w:val="003B057D"/>
    <w:rsid w:val="003B15F0"/>
    <w:rsid w:val="003B368C"/>
    <w:rsid w:val="003B5C46"/>
    <w:rsid w:val="003B5CE7"/>
    <w:rsid w:val="003C08D5"/>
    <w:rsid w:val="003C1EF9"/>
    <w:rsid w:val="003C42ED"/>
    <w:rsid w:val="003C4AF3"/>
    <w:rsid w:val="003C5559"/>
    <w:rsid w:val="003C6BBB"/>
    <w:rsid w:val="003C7800"/>
    <w:rsid w:val="003C7B8B"/>
    <w:rsid w:val="003C7EA9"/>
    <w:rsid w:val="003D1FC1"/>
    <w:rsid w:val="003D2E63"/>
    <w:rsid w:val="003D2EF1"/>
    <w:rsid w:val="003D32D1"/>
    <w:rsid w:val="003D3710"/>
    <w:rsid w:val="003D3A84"/>
    <w:rsid w:val="003D476F"/>
    <w:rsid w:val="003D526D"/>
    <w:rsid w:val="003D609B"/>
    <w:rsid w:val="003D60C2"/>
    <w:rsid w:val="003E18DB"/>
    <w:rsid w:val="003E2D21"/>
    <w:rsid w:val="003E4319"/>
    <w:rsid w:val="003E447B"/>
    <w:rsid w:val="003E5370"/>
    <w:rsid w:val="003E68C5"/>
    <w:rsid w:val="003E6CDC"/>
    <w:rsid w:val="003E7480"/>
    <w:rsid w:val="003E7A28"/>
    <w:rsid w:val="003E7C48"/>
    <w:rsid w:val="003F060D"/>
    <w:rsid w:val="003F22C1"/>
    <w:rsid w:val="003F2F6A"/>
    <w:rsid w:val="003F3464"/>
    <w:rsid w:val="003F3B49"/>
    <w:rsid w:val="003F70BB"/>
    <w:rsid w:val="003F72B8"/>
    <w:rsid w:val="003F7647"/>
    <w:rsid w:val="003F7775"/>
    <w:rsid w:val="00400423"/>
    <w:rsid w:val="00401227"/>
    <w:rsid w:val="00401D31"/>
    <w:rsid w:val="00402D99"/>
    <w:rsid w:val="00407AD7"/>
    <w:rsid w:val="00410069"/>
    <w:rsid w:val="00410E3E"/>
    <w:rsid w:val="00411946"/>
    <w:rsid w:val="00412AF4"/>
    <w:rsid w:val="00413DD5"/>
    <w:rsid w:val="00415AC8"/>
    <w:rsid w:val="00416EEC"/>
    <w:rsid w:val="0041797B"/>
    <w:rsid w:val="0042064F"/>
    <w:rsid w:val="00420925"/>
    <w:rsid w:val="00424D06"/>
    <w:rsid w:val="00424F97"/>
    <w:rsid w:val="0042657D"/>
    <w:rsid w:val="004269F8"/>
    <w:rsid w:val="00430CA0"/>
    <w:rsid w:val="00431227"/>
    <w:rsid w:val="004318B3"/>
    <w:rsid w:val="0043344A"/>
    <w:rsid w:val="0043376C"/>
    <w:rsid w:val="00434300"/>
    <w:rsid w:val="00435A96"/>
    <w:rsid w:val="00436815"/>
    <w:rsid w:val="00437EFF"/>
    <w:rsid w:val="004423B7"/>
    <w:rsid w:val="00444509"/>
    <w:rsid w:val="004452BF"/>
    <w:rsid w:val="00451E90"/>
    <w:rsid w:val="00452994"/>
    <w:rsid w:val="00453930"/>
    <w:rsid w:val="00453B3B"/>
    <w:rsid w:val="00453C7F"/>
    <w:rsid w:val="00454111"/>
    <w:rsid w:val="00454DD3"/>
    <w:rsid w:val="004552D6"/>
    <w:rsid w:val="004571D2"/>
    <w:rsid w:val="004575AB"/>
    <w:rsid w:val="004578CE"/>
    <w:rsid w:val="004602B7"/>
    <w:rsid w:val="0046113C"/>
    <w:rsid w:val="00461955"/>
    <w:rsid w:val="00462F19"/>
    <w:rsid w:val="00463074"/>
    <w:rsid w:val="0046403A"/>
    <w:rsid w:val="004644DF"/>
    <w:rsid w:val="00464763"/>
    <w:rsid w:val="004647D0"/>
    <w:rsid w:val="004647F2"/>
    <w:rsid w:val="00464AFA"/>
    <w:rsid w:val="00464C0A"/>
    <w:rsid w:val="004650CD"/>
    <w:rsid w:val="00465619"/>
    <w:rsid w:val="0046597B"/>
    <w:rsid w:val="00465F2B"/>
    <w:rsid w:val="00467BEE"/>
    <w:rsid w:val="00470233"/>
    <w:rsid w:val="004718ED"/>
    <w:rsid w:val="00472616"/>
    <w:rsid w:val="00474D8E"/>
    <w:rsid w:val="00474F1E"/>
    <w:rsid w:val="00476688"/>
    <w:rsid w:val="00476F17"/>
    <w:rsid w:val="00477BB5"/>
    <w:rsid w:val="00480281"/>
    <w:rsid w:val="0048031A"/>
    <w:rsid w:val="00480755"/>
    <w:rsid w:val="00480F79"/>
    <w:rsid w:val="00482418"/>
    <w:rsid w:val="00482D09"/>
    <w:rsid w:val="00482FF9"/>
    <w:rsid w:val="0048379A"/>
    <w:rsid w:val="00483DBB"/>
    <w:rsid w:val="00484A91"/>
    <w:rsid w:val="004851FB"/>
    <w:rsid w:val="004855D1"/>
    <w:rsid w:val="00485ECE"/>
    <w:rsid w:val="00490BAA"/>
    <w:rsid w:val="00490DEF"/>
    <w:rsid w:val="004913A6"/>
    <w:rsid w:val="004923A3"/>
    <w:rsid w:val="004940A9"/>
    <w:rsid w:val="00494AAC"/>
    <w:rsid w:val="00495464"/>
    <w:rsid w:val="00495A86"/>
    <w:rsid w:val="00495DBD"/>
    <w:rsid w:val="004A201F"/>
    <w:rsid w:val="004A20AF"/>
    <w:rsid w:val="004A25F5"/>
    <w:rsid w:val="004A31AA"/>
    <w:rsid w:val="004A3DB3"/>
    <w:rsid w:val="004A4991"/>
    <w:rsid w:val="004A52D7"/>
    <w:rsid w:val="004A6D31"/>
    <w:rsid w:val="004A7173"/>
    <w:rsid w:val="004B030D"/>
    <w:rsid w:val="004B1CD2"/>
    <w:rsid w:val="004B1DC0"/>
    <w:rsid w:val="004B2906"/>
    <w:rsid w:val="004B2A13"/>
    <w:rsid w:val="004B2FDF"/>
    <w:rsid w:val="004B3AD9"/>
    <w:rsid w:val="004B4416"/>
    <w:rsid w:val="004B44C7"/>
    <w:rsid w:val="004B7455"/>
    <w:rsid w:val="004B7EFE"/>
    <w:rsid w:val="004C0607"/>
    <w:rsid w:val="004C0E28"/>
    <w:rsid w:val="004C11D7"/>
    <w:rsid w:val="004C1CDC"/>
    <w:rsid w:val="004C1CEC"/>
    <w:rsid w:val="004C2269"/>
    <w:rsid w:val="004C23F8"/>
    <w:rsid w:val="004C547E"/>
    <w:rsid w:val="004C6838"/>
    <w:rsid w:val="004C6C8A"/>
    <w:rsid w:val="004C6E92"/>
    <w:rsid w:val="004D088A"/>
    <w:rsid w:val="004D1226"/>
    <w:rsid w:val="004D20F4"/>
    <w:rsid w:val="004D3AB7"/>
    <w:rsid w:val="004D3CCA"/>
    <w:rsid w:val="004D4788"/>
    <w:rsid w:val="004D4CD9"/>
    <w:rsid w:val="004D6AD5"/>
    <w:rsid w:val="004D782B"/>
    <w:rsid w:val="004E0A56"/>
    <w:rsid w:val="004E16DF"/>
    <w:rsid w:val="004E2F10"/>
    <w:rsid w:val="004E4083"/>
    <w:rsid w:val="004E4B33"/>
    <w:rsid w:val="004E5E4C"/>
    <w:rsid w:val="004E61E4"/>
    <w:rsid w:val="004E7375"/>
    <w:rsid w:val="004E7D5A"/>
    <w:rsid w:val="004F034D"/>
    <w:rsid w:val="004F0C33"/>
    <w:rsid w:val="004F1F83"/>
    <w:rsid w:val="004F2E71"/>
    <w:rsid w:val="004F372D"/>
    <w:rsid w:val="004F48C5"/>
    <w:rsid w:val="004F4EDD"/>
    <w:rsid w:val="004F5364"/>
    <w:rsid w:val="004F7619"/>
    <w:rsid w:val="00501421"/>
    <w:rsid w:val="00502745"/>
    <w:rsid w:val="0050374E"/>
    <w:rsid w:val="00504987"/>
    <w:rsid w:val="00505DCE"/>
    <w:rsid w:val="00506261"/>
    <w:rsid w:val="005062AA"/>
    <w:rsid w:val="005072FE"/>
    <w:rsid w:val="005075FA"/>
    <w:rsid w:val="00507C31"/>
    <w:rsid w:val="00507FD5"/>
    <w:rsid w:val="005104ED"/>
    <w:rsid w:val="00511504"/>
    <w:rsid w:val="00511992"/>
    <w:rsid w:val="00513AE9"/>
    <w:rsid w:val="00514428"/>
    <w:rsid w:val="005169B3"/>
    <w:rsid w:val="00516EDF"/>
    <w:rsid w:val="00520103"/>
    <w:rsid w:val="00521933"/>
    <w:rsid w:val="00523A5A"/>
    <w:rsid w:val="00523DE7"/>
    <w:rsid w:val="00524294"/>
    <w:rsid w:val="00525076"/>
    <w:rsid w:val="00531503"/>
    <w:rsid w:val="00532177"/>
    <w:rsid w:val="005326AA"/>
    <w:rsid w:val="00532AA3"/>
    <w:rsid w:val="00534E7A"/>
    <w:rsid w:val="005366A3"/>
    <w:rsid w:val="00540151"/>
    <w:rsid w:val="00540EE6"/>
    <w:rsid w:val="005411BE"/>
    <w:rsid w:val="0054227A"/>
    <w:rsid w:val="005423B2"/>
    <w:rsid w:val="005448C5"/>
    <w:rsid w:val="00546FB6"/>
    <w:rsid w:val="005525E4"/>
    <w:rsid w:val="00552DCF"/>
    <w:rsid w:val="00554AB2"/>
    <w:rsid w:val="00556310"/>
    <w:rsid w:val="00557BEA"/>
    <w:rsid w:val="0056214B"/>
    <w:rsid w:val="00564399"/>
    <w:rsid w:val="0056487B"/>
    <w:rsid w:val="005649D0"/>
    <w:rsid w:val="00564AB2"/>
    <w:rsid w:val="00565CD2"/>
    <w:rsid w:val="00566DFD"/>
    <w:rsid w:val="005725EC"/>
    <w:rsid w:val="00574EF3"/>
    <w:rsid w:val="00575626"/>
    <w:rsid w:val="00576A10"/>
    <w:rsid w:val="00576B8F"/>
    <w:rsid w:val="00576BA8"/>
    <w:rsid w:val="00576C3D"/>
    <w:rsid w:val="00577767"/>
    <w:rsid w:val="005805E1"/>
    <w:rsid w:val="0058209C"/>
    <w:rsid w:val="005837E0"/>
    <w:rsid w:val="00586A41"/>
    <w:rsid w:val="005870D6"/>
    <w:rsid w:val="0059012E"/>
    <w:rsid w:val="0059016F"/>
    <w:rsid w:val="005902E2"/>
    <w:rsid w:val="00590329"/>
    <w:rsid w:val="00590DB5"/>
    <w:rsid w:val="00590F87"/>
    <w:rsid w:val="00590F92"/>
    <w:rsid w:val="005912FD"/>
    <w:rsid w:val="005918AB"/>
    <w:rsid w:val="005918AD"/>
    <w:rsid w:val="00591C2E"/>
    <w:rsid w:val="00591F8B"/>
    <w:rsid w:val="00591FE3"/>
    <w:rsid w:val="005923EA"/>
    <w:rsid w:val="005929C0"/>
    <w:rsid w:val="005929E6"/>
    <w:rsid w:val="00593272"/>
    <w:rsid w:val="00594FCE"/>
    <w:rsid w:val="00595F75"/>
    <w:rsid w:val="00596DEB"/>
    <w:rsid w:val="0059797B"/>
    <w:rsid w:val="00597AF6"/>
    <w:rsid w:val="005A122E"/>
    <w:rsid w:val="005A2029"/>
    <w:rsid w:val="005A2496"/>
    <w:rsid w:val="005A2A91"/>
    <w:rsid w:val="005A5270"/>
    <w:rsid w:val="005A5E3E"/>
    <w:rsid w:val="005A6CDC"/>
    <w:rsid w:val="005A6EE7"/>
    <w:rsid w:val="005A724A"/>
    <w:rsid w:val="005B0E1A"/>
    <w:rsid w:val="005B0F27"/>
    <w:rsid w:val="005B1092"/>
    <w:rsid w:val="005B2711"/>
    <w:rsid w:val="005B33C7"/>
    <w:rsid w:val="005B33E7"/>
    <w:rsid w:val="005B5610"/>
    <w:rsid w:val="005B6A0F"/>
    <w:rsid w:val="005B731E"/>
    <w:rsid w:val="005B7653"/>
    <w:rsid w:val="005B7949"/>
    <w:rsid w:val="005B7F16"/>
    <w:rsid w:val="005C060F"/>
    <w:rsid w:val="005C136F"/>
    <w:rsid w:val="005C284C"/>
    <w:rsid w:val="005C3DC9"/>
    <w:rsid w:val="005C46A2"/>
    <w:rsid w:val="005C4A9A"/>
    <w:rsid w:val="005C4EB8"/>
    <w:rsid w:val="005C6030"/>
    <w:rsid w:val="005C604C"/>
    <w:rsid w:val="005C6C9B"/>
    <w:rsid w:val="005D0CD6"/>
    <w:rsid w:val="005D1782"/>
    <w:rsid w:val="005D19FD"/>
    <w:rsid w:val="005D1BCA"/>
    <w:rsid w:val="005D376A"/>
    <w:rsid w:val="005D3D85"/>
    <w:rsid w:val="005D48D7"/>
    <w:rsid w:val="005D495B"/>
    <w:rsid w:val="005D4E63"/>
    <w:rsid w:val="005D53C2"/>
    <w:rsid w:val="005D542B"/>
    <w:rsid w:val="005D5706"/>
    <w:rsid w:val="005D71D5"/>
    <w:rsid w:val="005D7AB0"/>
    <w:rsid w:val="005E03AD"/>
    <w:rsid w:val="005E0900"/>
    <w:rsid w:val="005E0CE9"/>
    <w:rsid w:val="005E0FEF"/>
    <w:rsid w:val="005E1D77"/>
    <w:rsid w:val="005E25A9"/>
    <w:rsid w:val="005E2AD3"/>
    <w:rsid w:val="005E2FE7"/>
    <w:rsid w:val="005E4D38"/>
    <w:rsid w:val="005E71A3"/>
    <w:rsid w:val="005E7B79"/>
    <w:rsid w:val="005F028D"/>
    <w:rsid w:val="005F050E"/>
    <w:rsid w:val="005F060D"/>
    <w:rsid w:val="005F0B23"/>
    <w:rsid w:val="005F0CFB"/>
    <w:rsid w:val="005F0D67"/>
    <w:rsid w:val="005F245D"/>
    <w:rsid w:val="005F597B"/>
    <w:rsid w:val="005F5C20"/>
    <w:rsid w:val="005F606A"/>
    <w:rsid w:val="005F6BC3"/>
    <w:rsid w:val="006006F6"/>
    <w:rsid w:val="00600CB2"/>
    <w:rsid w:val="00600FE6"/>
    <w:rsid w:val="00601057"/>
    <w:rsid w:val="0060339A"/>
    <w:rsid w:val="006034B2"/>
    <w:rsid w:val="0060357F"/>
    <w:rsid w:val="00603B20"/>
    <w:rsid w:val="006042AF"/>
    <w:rsid w:val="006051F3"/>
    <w:rsid w:val="00605E5F"/>
    <w:rsid w:val="00606A9E"/>
    <w:rsid w:val="00606AED"/>
    <w:rsid w:val="00606F1F"/>
    <w:rsid w:val="0060772C"/>
    <w:rsid w:val="006078D9"/>
    <w:rsid w:val="006112B2"/>
    <w:rsid w:val="00611311"/>
    <w:rsid w:val="006136E4"/>
    <w:rsid w:val="00615432"/>
    <w:rsid w:val="00617A72"/>
    <w:rsid w:val="00617BC1"/>
    <w:rsid w:val="00620037"/>
    <w:rsid w:val="006209AF"/>
    <w:rsid w:val="00620BB4"/>
    <w:rsid w:val="00620F5D"/>
    <w:rsid w:val="00623624"/>
    <w:rsid w:val="00623742"/>
    <w:rsid w:val="00623891"/>
    <w:rsid w:val="00623AE6"/>
    <w:rsid w:val="00623C2E"/>
    <w:rsid w:val="006243EA"/>
    <w:rsid w:val="00624857"/>
    <w:rsid w:val="0062585D"/>
    <w:rsid w:val="00625E15"/>
    <w:rsid w:val="006275C1"/>
    <w:rsid w:val="00630420"/>
    <w:rsid w:val="0063052A"/>
    <w:rsid w:val="006309B3"/>
    <w:rsid w:val="00631558"/>
    <w:rsid w:val="00631DEC"/>
    <w:rsid w:val="00632F52"/>
    <w:rsid w:val="00635AEE"/>
    <w:rsid w:val="006362DA"/>
    <w:rsid w:val="00641985"/>
    <w:rsid w:val="00642761"/>
    <w:rsid w:val="00642B3F"/>
    <w:rsid w:val="0064493B"/>
    <w:rsid w:val="00644C0D"/>
    <w:rsid w:val="006455AF"/>
    <w:rsid w:val="00645AB1"/>
    <w:rsid w:val="00647166"/>
    <w:rsid w:val="00647F15"/>
    <w:rsid w:val="00650052"/>
    <w:rsid w:val="006506B8"/>
    <w:rsid w:val="006508DE"/>
    <w:rsid w:val="00651E31"/>
    <w:rsid w:val="00652386"/>
    <w:rsid w:val="006533BB"/>
    <w:rsid w:val="006537C9"/>
    <w:rsid w:val="00653BDA"/>
    <w:rsid w:val="006551D8"/>
    <w:rsid w:val="00655D6F"/>
    <w:rsid w:val="006567F4"/>
    <w:rsid w:val="0065683A"/>
    <w:rsid w:val="00657635"/>
    <w:rsid w:val="00657875"/>
    <w:rsid w:val="00657927"/>
    <w:rsid w:val="00660C6A"/>
    <w:rsid w:val="00662CE7"/>
    <w:rsid w:val="00663062"/>
    <w:rsid w:val="00663A11"/>
    <w:rsid w:val="006651FA"/>
    <w:rsid w:val="00667938"/>
    <w:rsid w:val="00671EF0"/>
    <w:rsid w:val="00675064"/>
    <w:rsid w:val="006757D5"/>
    <w:rsid w:val="006761CE"/>
    <w:rsid w:val="00677BC8"/>
    <w:rsid w:val="00677C51"/>
    <w:rsid w:val="00677CAF"/>
    <w:rsid w:val="006822A1"/>
    <w:rsid w:val="00683EEE"/>
    <w:rsid w:val="00685191"/>
    <w:rsid w:val="00685CF0"/>
    <w:rsid w:val="00685F6B"/>
    <w:rsid w:val="0068609E"/>
    <w:rsid w:val="0069026E"/>
    <w:rsid w:val="00690B6E"/>
    <w:rsid w:val="0069111C"/>
    <w:rsid w:val="00691666"/>
    <w:rsid w:val="00691910"/>
    <w:rsid w:val="00691A41"/>
    <w:rsid w:val="00691A6A"/>
    <w:rsid w:val="0069392A"/>
    <w:rsid w:val="00697986"/>
    <w:rsid w:val="006A0C21"/>
    <w:rsid w:val="006A1FDD"/>
    <w:rsid w:val="006A2813"/>
    <w:rsid w:val="006A384D"/>
    <w:rsid w:val="006A4ACB"/>
    <w:rsid w:val="006A5187"/>
    <w:rsid w:val="006A5913"/>
    <w:rsid w:val="006A5FAE"/>
    <w:rsid w:val="006A64D6"/>
    <w:rsid w:val="006A6515"/>
    <w:rsid w:val="006A7211"/>
    <w:rsid w:val="006A7F3A"/>
    <w:rsid w:val="006B05D3"/>
    <w:rsid w:val="006B2CBB"/>
    <w:rsid w:val="006B44B5"/>
    <w:rsid w:val="006B48AB"/>
    <w:rsid w:val="006B7483"/>
    <w:rsid w:val="006C1304"/>
    <w:rsid w:val="006C1606"/>
    <w:rsid w:val="006C37E5"/>
    <w:rsid w:val="006C6345"/>
    <w:rsid w:val="006C7683"/>
    <w:rsid w:val="006C79A9"/>
    <w:rsid w:val="006C79B0"/>
    <w:rsid w:val="006D1C8C"/>
    <w:rsid w:val="006D2C2E"/>
    <w:rsid w:val="006D2CFE"/>
    <w:rsid w:val="006D3EE1"/>
    <w:rsid w:val="006D5561"/>
    <w:rsid w:val="006D7B02"/>
    <w:rsid w:val="006E0CCF"/>
    <w:rsid w:val="006E3F5B"/>
    <w:rsid w:val="006E54AD"/>
    <w:rsid w:val="006E5D35"/>
    <w:rsid w:val="006E6F16"/>
    <w:rsid w:val="006E7191"/>
    <w:rsid w:val="006E7530"/>
    <w:rsid w:val="006F061E"/>
    <w:rsid w:val="006F0A53"/>
    <w:rsid w:val="006F3B6C"/>
    <w:rsid w:val="006F56B1"/>
    <w:rsid w:val="006F5E98"/>
    <w:rsid w:val="006F5F9A"/>
    <w:rsid w:val="006F7EEA"/>
    <w:rsid w:val="007002CA"/>
    <w:rsid w:val="007005DF"/>
    <w:rsid w:val="00700893"/>
    <w:rsid w:val="007011BD"/>
    <w:rsid w:val="00702958"/>
    <w:rsid w:val="00703735"/>
    <w:rsid w:val="00705D37"/>
    <w:rsid w:val="007065CC"/>
    <w:rsid w:val="00706BE2"/>
    <w:rsid w:val="00707233"/>
    <w:rsid w:val="00710B3D"/>
    <w:rsid w:val="00712547"/>
    <w:rsid w:val="00712695"/>
    <w:rsid w:val="007132C6"/>
    <w:rsid w:val="00716319"/>
    <w:rsid w:val="00716DA6"/>
    <w:rsid w:val="00717070"/>
    <w:rsid w:val="007175AA"/>
    <w:rsid w:val="00720253"/>
    <w:rsid w:val="00720797"/>
    <w:rsid w:val="00720A5E"/>
    <w:rsid w:val="00720C05"/>
    <w:rsid w:val="0072133B"/>
    <w:rsid w:val="00722383"/>
    <w:rsid w:val="007226A5"/>
    <w:rsid w:val="00722FBE"/>
    <w:rsid w:val="00724967"/>
    <w:rsid w:val="0072497C"/>
    <w:rsid w:val="00725B75"/>
    <w:rsid w:val="00726BE8"/>
    <w:rsid w:val="00727001"/>
    <w:rsid w:val="00730594"/>
    <w:rsid w:val="00730ED0"/>
    <w:rsid w:val="00733A1E"/>
    <w:rsid w:val="00733C90"/>
    <w:rsid w:val="007351BA"/>
    <w:rsid w:val="0073547F"/>
    <w:rsid w:val="00735BA0"/>
    <w:rsid w:val="00736FA3"/>
    <w:rsid w:val="00737AAC"/>
    <w:rsid w:val="00741773"/>
    <w:rsid w:val="007420C0"/>
    <w:rsid w:val="0074374E"/>
    <w:rsid w:val="00743A91"/>
    <w:rsid w:val="00743ADB"/>
    <w:rsid w:val="007444F7"/>
    <w:rsid w:val="0074481C"/>
    <w:rsid w:val="00744952"/>
    <w:rsid w:val="00745529"/>
    <w:rsid w:val="00745FAC"/>
    <w:rsid w:val="007478CD"/>
    <w:rsid w:val="00747E77"/>
    <w:rsid w:val="00750A9D"/>
    <w:rsid w:val="00751573"/>
    <w:rsid w:val="00752813"/>
    <w:rsid w:val="00752DD9"/>
    <w:rsid w:val="00753AB8"/>
    <w:rsid w:val="00753B98"/>
    <w:rsid w:val="007564A8"/>
    <w:rsid w:val="007575E3"/>
    <w:rsid w:val="0075778E"/>
    <w:rsid w:val="00760049"/>
    <w:rsid w:val="00760A73"/>
    <w:rsid w:val="007618EE"/>
    <w:rsid w:val="0076195C"/>
    <w:rsid w:val="007622AF"/>
    <w:rsid w:val="0076239C"/>
    <w:rsid w:val="0076256B"/>
    <w:rsid w:val="00762A9B"/>
    <w:rsid w:val="00762F0F"/>
    <w:rsid w:val="00765074"/>
    <w:rsid w:val="00765211"/>
    <w:rsid w:val="00766336"/>
    <w:rsid w:val="0076676C"/>
    <w:rsid w:val="00766D4A"/>
    <w:rsid w:val="007674C2"/>
    <w:rsid w:val="00771E41"/>
    <w:rsid w:val="00771E80"/>
    <w:rsid w:val="00773DEF"/>
    <w:rsid w:val="00774E15"/>
    <w:rsid w:val="00776A7B"/>
    <w:rsid w:val="00781B76"/>
    <w:rsid w:val="00782A05"/>
    <w:rsid w:val="00782FA6"/>
    <w:rsid w:val="007861B9"/>
    <w:rsid w:val="00786B79"/>
    <w:rsid w:val="00786C0C"/>
    <w:rsid w:val="00786DD6"/>
    <w:rsid w:val="007905B0"/>
    <w:rsid w:val="00790736"/>
    <w:rsid w:val="00790F68"/>
    <w:rsid w:val="007915D2"/>
    <w:rsid w:val="00791A49"/>
    <w:rsid w:val="00791B64"/>
    <w:rsid w:val="00792129"/>
    <w:rsid w:val="0079333B"/>
    <w:rsid w:val="00793479"/>
    <w:rsid w:val="0079369F"/>
    <w:rsid w:val="00793EA9"/>
    <w:rsid w:val="00793F10"/>
    <w:rsid w:val="00793FA1"/>
    <w:rsid w:val="007944D5"/>
    <w:rsid w:val="00794C11"/>
    <w:rsid w:val="0079527E"/>
    <w:rsid w:val="00796711"/>
    <w:rsid w:val="00796F5D"/>
    <w:rsid w:val="00797A5B"/>
    <w:rsid w:val="007A010C"/>
    <w:rsid w:val="007A096D"/>
    <w:rsid w:val="007A1278"/>
    <w:rsid w:val="007A2E69"/>
    <w:rsid w:val="007A3522"/>
    <w:rsid w:val="007A4307"/>
    <w:rsid w:val="007A48E0"/>
    <w:rsid w:val="007A62D3"/>
    <w:rsid w:val="007A6C9A"/>
    <w:rsid w:val="007B13A4"/>
    <w:rsid w:val="007B14F8"/>
    <w:rsid w:val="007B1F7B"/>
    <w:rsid w:val="007B2774"/>
    <w:rsid w:val="007B2C85"/>
    <w:rsid w:val="007B3ADB"/>
    <w:rsid w:val="007B6A45"/>
    <w:rsid w:val="007C015A"/>
    <w:rsid w:val="007C0609"/>
    <w:rsid w:val="007C1173"/>
    <w:rsid w:val="007C138A"/>
    <w:rsid w:val="007C442B"/>
    <w:rsid w:val="007C4BA7"/>
    <w:rsid w:val="007C5CC5"/>
    <w:rsid w:val="007D05E1"/>
    <w:rsid w:val="007D1B61"/>
    <w:rsid w:val="007D2D19"/>
    <w:rsid w:val="007D4D5C"/>
    <w:rsid w:val="007D6472"/>
    <w:rsid w:val="007E0FFA"/>
    <w:rsid w:val="007E1586"/>
    <w:rsid w:val="007E3D5D"/>
    <w:rsid w:val="007E476E"/>
    <w:rsid w:val="007E4F71"/>
    <w:rsid w:val="007E51FF"/>
    <w:rsid w:val="007E5875"/>
    <w:rsid w:val="007E7484"/>
    <w:rsid w:val="007E7526"/>
    <w:rsid w:val="007F4156"/>
    <w:rsid w:val="007F4ABE"/>
    <w:rsid w:val="007F6AD7"/>
    <w:rsid w:val="007F6E68"/>
    <w:rsid w:val="007F7131"/>
    <w:rsid w:val="00800C4C"/>
    <w:rsid w:val="008011C8"/>
    <w:rsid w:val="00802749"/>
    <w:rsid w:val="00802F3F"/>
    <w:rsid w:val="008063DD"/>
    <w:rsid w:val="00807432"/>
    <w:rsid w:val="00807D65"/>
    <w:rsid w:val="00810010"/>
    <w:rsid w:val="008124E3"/>
    <w:rsid w:val="00812997"/>
    <w:rsid w:val="00813316"/>
    <w:rsid w:val="00813EBB"/>
    <w:rsid w:val="0081543E"/>
    <w:rsid w:val="008156D4"/>
    <w:rsid w:val="00815DB5"/>
    <w:rsid w:val="00816715"/>
    <w:rsid w:val="00816D4C"/>
    <w:rsid w:val="0082081A"/>
    <w:rsid w:val="008208F8"/>
    <w:rsid w:val="00821569"/>
    <w:rsid w:val="00822FE1"/>
    <w:rsid w:val="00823487"/>
    <w:rsid w:val="00823829"/>
    <w:rsid w:val="008243D2"/>
    <w:rsid w:val="00827136"/>
    <w:rsid w:val="008277C0"/>
    <w:rsid w:val="00827811"/>
    <w:rsid w:val="00831A00"/>
    <w:rsid w:val="00833248"/>
    <w:rsid w:val="008347AE"/>
    <w:rsid w:val="0084020F"/>
    <w:rsid w:val="00840A29"/>
    <w:rsid w:val="008414B4"/>
    <w:rsid w:val="00841516"/>
    <w:rsid w:val="008428FB"/>
    <w:rsid w:val="00844358"/>
    <w:rsid w:val="00846180"/>
    <w:rsid w:val="008466CE"/>
    <w:rsid w:val="00847AAD"/>
    <w:rsid w:val="0085007D"/>
    <w:rsid w:val="008506A8"/>
    <w:rsid w:val="008508E0"/>
    <w:rsid w:val="00851B8E"/>
    <w:rsid w:val="0085264B"/>
    <w:rsid w:val="00853C06"/>
    <w:rsid w:val="00854011"/>
    <w:rsid w:val="008542CF"/>
    <w:rsid w:val="00855796"/>
    <w:rsid w:val="0086111B"/>
    <w:rsid w:val="008612EA"/>
    <w:rsid w:val="00861B02"/>
    <w:rsid w:val="00861C46"/>
    <w:rsid w:val="00861E4F"/>
    <w:rsid w:val="008623A3"/>
    <w:rsid w:val="008623A6"/>
    <w:rsid w:val="00863E2D"/>
    <w:rsid w:val="008647E5"/>
    <w:rsid w:val="0086642C"/>
    <w:rsid w:val="0086657E"/>
    <w:rsid w:val="00866B49"/>
    <w:rsid w:val="00867088"/>
    <w:rsid w:val="008733BC"/>
    <w:rsid w:val="00881AAB"/>
    <w:rsid w:val="00882023"/>
    <w:rsid w:val="00883129"/>
    <w:rsid w:val="008841DE"/>
    <w:rsid w:val="00884253"/>
    <w:rsid w:val="008843C4"/>
    <w:rsid w:val="00884683"/>
    <w:rsid w:val="0088475C"/>
    <w:rsid w:val="00887718"/>
    <w:rsid w:val="00887D37"/>
    <w:rsid w:val="00894AAF"/>
    <w:rsid w:val="00896207"/>
    <w:rsid w:val="0089661A"/>
    <w:rsid w:val="008967E0"/>
    <w:rsid w:val="0089795A"/>
    <w:rsid w:val="00897EF3"/>
    <w:rsid w:val="008A0196"/>
    <w:rsid w:val="008A0433"/>
    <w:rsid w:val="008A05D4"/>
    <w:rsid w:val="008A2372"/>
    <w:rsid w:val="008A3732"/>
    <w:rsid w:val="008A6A73"/>
    <w:rsid w:val="008A76B5"/>
    <w:rsid w:val="008B0F77"/>
    <w:rsid w:val="008B1B28"/>
    <w:rsid w:val="008B1E86"/>
    <w:rsid w:val="008B253B"/>
    <w:rsid w:val="008B3F0D"/>
    <w:rsid w:val="008B459A"/>
    <w:rsid w:val="008B6B17"/>
    <w:rsid w:val="008B7BF9"/>
    <w:rsid w:val="008C0531"/>
    <w:rsid w:val="008C4F7A"/>
    <w:rsid w:val="008C6E30"/>
    <w:rsid w:val="008D0AA1"/>
    <w:rsid w:val="008D1585"/>
    <w:rsid w:val="008D1DCF"/>
    <w:rsid w:val="008D3106"/>
    <w:rsid w:val="008D365E"/>
    <w:rsid w:val="008D4102"/>
    <w:rsid w:val="008D5F1F"/>
    <w:rsid w:val="008D62BC"/>
    <w:rsid w:val="008D7A1B"/>
    <w:rsid w:val="008E0613"/>
    <w:rsid w:val="008E2A78"/>
    <w:rsid w:val="008E32B6"/>
    <w:rsid w:val="008E3C9F"/>
    <w:rsid w:val="008E43C6"/>
    <w:rsid w:val="008E520D"/>
    <w:rsid w:val="008E5BE1"/>
    <w:rsid w:val="008E717F"/>
    <w:rsid w:val="008E78EB"/>
    <w:rsid w:val="008E7E3A"/>
    <w:rsid w:val="008F0DFE"/>
    <w:rsid w:val="008F10C1"/>
    <w:rsid w:val="008F2B3B"/>
    <w:rsid w:val="008F41A4"/>
    <w:rsid w:val="008F4F0A"/>
    <w:rsid w:val="008F63F3"/>
    <w:rsid w:val="008F6446"/>
    <w:rsid w:val="008F6A1D"/>
    <w:rsid w:val="009004EC"/>
    <w:rsid w:val="009012F1"/>
    <w:rsid w:val="00901B5A"/>
    <w:rsid w:val="00901EB3"/>
    <w:rsid w:val="009032A6"/>
    <w:rsid w:val="00903CA7"/>
    <w:rsid w:val="0090537B"/>
    <w:rsid w:val="0090694A"/>
    <w:rsid w:val="00906B65"/>
    <w:rsid w:val="00906C79"/>
    <w:rsid w:val="00907AE6"/>
    <w:rsid w:val="009108F5"/>
    <w:rsid w:val="00911D8A"/>
    <w:rsid w:val="009121EE"/>
    <w:rsid w:val="009124A5"/>
    <w:rsid w:val="00912DA4"/>
    <w:rsid w:val="00913366"/>
    <w:rsid w:val="009133AD"/>
    <w:rsid w:val="00915525"/>
    <w:rsid w:val="00915C90"/>
    <w:rsid w:val="00916341"/>
    <w:rsid w:val="00920AE5"/>
    <w:rsid w:val="00921468"/>
    <w:rsid w:val="009236BF"/>
    <w:rsid w:val="009245A2"/>
    <w:rsid w:val="00924909"/>
    <w:rsid w:val="00924B8B"/>
    <w:rsid w:val="00926DA7"/>
    <w:rsid w:val="00927DE8"/>
    <w:rsid w:val="00930437"/>
    <w:rsid w:val="00930499"/>
    <w:rsid w:val="00931938"/>
    <w:rsid w:val="00932BEA"/>
    <w:rsid w:val="009336F1"/>
    <w:rsid w:val="00935291"/>
    <w:rsid w:val="00935610"/>
    <w:rsid w:val="00935867"/>
    <w:rsid w:val="0093627D"/>
    <w:rsid w:val="009374B6"/>
    <w:rsid w:val="009404BA"/>
    <w:rsid w:val="00942199"/>
    <w:rsid w:val="00944D69"/>
    <w:rsid w:val="009457F1"/>
    <w:rsid w:val="0094591B"/>
    <w:rsid w:val="00946DA4"/>
    <w:rsid w:val="00946E40"/>
    <w:rsid w:val="00950254"/>
    <w:rsid w:val="00952B93"/>
    <w:rsid w:val="009530E6"/>
    <w:rsid w:val="00956948"/>
    <w:rsid w:val="00957AB5"/>
    <w:rsid w:val="00957D5C"/>
    <w:rsid w:val="00957E3E"/>
    <w:rsid w:val="0096029F"/>
    <w:rsid w:val="0096154E"/>
    <w:rsid w:val="0096292E"/>
    <w:rsid w:val="00962A7A"/>
    <w:rsid w:val="00962B05"/>
    <w:rsid w:val="00962DFB"/>
    <w:rsid w:val="00964139"/>
    <w:rsid w:val="00965D0E"/>
    <w:rsid w:val="0096621D"/>
    <w:rsid w:val="0097298E"/>
    <w:rsid w:val="009731FC"/>
    <w:rsid w:val="009736D0"/>
    <w:rsid w:val="00973B36"/>
    <w:rsid w:val="00975613"/>
    <w:rsid w:val="0097598B"/>
    <w:rsid w:val="00976511"/>
    <w:rsid w:val="00983093"/>
    <w:rsid w:val="00983BBA"/>
    <w:rsid w:val="00983C76"/>
    <w:rsid w:val="00984F7C"/>
    <w:rsid w:val="00985098"/>
    <w:rsid w:val="00987671"/>
    <w:rsid w:val="009879C9"/>
    <w:rsid w:val="00987D7D"/>
    <w:rsid w:val="0099032B"/>
    <w:rsid w:val="009913D1"/>
    <w:rsid w:val="0099145F"/>
    <w:rsid w:val="0099170E"/>
    <w:rsid w:val="00991992"/>
    <w:rsid w:val="009919B4"/>
    <w:rsid w:val="009920D9"/>
    <w:rsid w:val="009922B2"/>
    <w:rsid w:val="00993CB8"/>
    <w:rsid w:val="0099466A"/>
    <w:rsid w:val="00995384"/>
    <w:rsid w:val="009964BF"/>
    <w:rsid w:val="00997271"/>
    <w:rsid w:val="0099790D"/>
    <w:rsid w:val="00997971"/>
    <w:rsid w:val="009A0328"/>
    <w:rsid w:val="009A0CF5"/>
    <w:rsid w:val="009A0FB8"/>
    <w:rsid w:val="009A1206"/>
    <w:rsid w:val="009A197B"/>
    <w:rsid w:val="009A2ECC"/>
    <w:rsid w:val="009A3363"/>
    <w:rsid w:val="009A424E"/>
    <w:rsid w:val="009A4F79"/>
    <w:rsid w:val="009A7C1C"/>
    <w:rsid w:val="009B060B"/>
    <w:rsid w:val="009B1693"/>
    <w:rsid w:val="009B1703"/>
    <w:rsid w:val="009B2BD8"/>
    <w:rsid w:val="009B483A"/>
    <w:rsid w:val="009B4D31"/>
    <w:rsid w:val="009B59E1"/>
    <w:rsid w:val="009B5D76"/>
    <w:rsid w:val="009B6B79"/>
    <w:rsid w:val="009C1F33"/>
    <w:rsid w:val="009C35C6"/>
    <w:rsid w:val="009C3993"/>
    <w:rsid w:val="009C4704"/>
    <w:rsid w:val="009C4FD2"/>
    <w:rsid w:val="009C7C43"/>
    <w:rsid w:val="009D068D"/>
    <w:rsid w:val="009D0B12"/>
    <w:rsid w:val="009D150A"/>
    <w:rsid w:val="009D2ADE"/>
    <w:rsid w:val="009D3F75"/>
    <w:rsid w:val="009D4E92"/>
    <w:rsid w:val="009D54D0"/>
    <w:rsid w:val="009D6E87"/>
    <w:rsid w:val="009E0734"/>
    <w:rsid w:val="009E0D6C"/>
    <w:rsid w:val="009E5E6F"/>
    <w:rsid w:val="009E6A5A"/>
    <w:rsid w:val="009E777D"/>
    <w:rsid w:val="009F09B9"/>
    <w:rsid w:val="009F0F0B"/>
    <w:rsid w:val="009F256F"/>
    <w:rsid w:val="009F2E6A"/>
    <w:rsid w:val="009F3453"/>
    <w:rsid w:val="009F400B"/>
    <w:rsid w:val="009F4258"/>
    <w:rsid w:val="009F722D"/>
    <w:rsid w:val="00A00620"/>
    <w:rsid w:val="00A00805"/>
    <w:rsid w:val="00A009BB"/>
    <w:rsid w:val="00A025DE"/>
    <w:rsid w:val="00A04046"/>
    <w:rsid w:val="00A0551F"/>
    <w:rsid w:val="00A05FB3"/>
    <w:rsid w:val="00A061FD"/>
    <w:rsid w:val="00A063F2"/>
    <w:rsid w:val="00A069B7"/>
    <w:rsid w:val="00A06BAA"/>
    <w:rsid w:val="00A075E7"/>
    <w:rsid w:val="00A1152D"/>
    <w:rsid w:val="00A14B21"/>
    <w:rsid w:val="00A15B1B"/>
    <w:rsid w:val="00A16E57"/>
    <w:rsid w:val="00A17BD6"/>
    <w:rsid w:val="00A2023F"/>
    <w:rsid w:val="00A214F3"/>
    <w:rsid w:val="00A21BE2"/>
    <w:rsid w:val="00A21E58"/>
    <w:rsid w:val="00A2433A"/>
    <w:rsid w:val="00A24D5F"/>
    <w:rsid w:val="00A25BB4"/>
    <w:rsid w:val="00A26F1B"/>
    <w:rsid w:val="00A2704D"/>
    <w:rsid w:val="00A27073"/>
    <w:rsid w:val="00A2776E"/>
    <w:rsid w:val="00A30CB9"/>
    <w:rsid w:val="00A316C2"/>
    <w:rsid w:val="00A32379"/>
    <w:rsid w:val="00A331D6"/>
    <w:rsid w:val="00A33D4D"/>
    <w:rsid w:val="00A34710"/>
    <w:rsid w:val="00A34D7B"/>
    <w:rsid w:val="00A352BF"/>
    <w:rsid w:val="00A35935"/>
    <w:rsid w:val="00A36D01"/>
    <w:rsid w:val="00A36DBD"/>
    <w:rsid w:val="00A4112E"/>
    <w:rsid w:val="00A413DB"/>
    <w:rsid w:val="00A42E9C"/>
    <w:rsid w:val="00A46A51"/>
    <w:rsid w:val="00A47BD0"/>
    <w:rsid w:val="00A50909"/>
    <w:rsid w:val="00A50A31"/>
    <w:rsid w:val="00A50D6F"/>
    <w:rsid w:val="00A50F05"/>
    <w:rsid w:val="00A5144A"/>
    <w:rsid w:val="00A5262B"/>
    <w:rsid w:val="00A52D7E"/>
    <w:rsid w:val="00A52E87"/>
    <w:rsid w:val="00A53085"/>
    <w:rsid w:val="00A53C88"/>
    <w:rsid w:val="00A55A70"/>
    <w:rsid w:val="00A56EAD"/>
    <w:rsid w:val="00A60AB7"/>
    <w:rsid w:val="00A61252"/>
    <w:rsid w:val="00A623BA"/>
    <w:rsid w:val="00A63004"/>
    <w:rsid w:val="00A63A74"/>
    <w:rsid w:val="00A65235"/>
    <w:rsid w:val="00A65DAC"/>
    <w:rsid w:val="00A66B14"/>
    <w:rsid w:val="00A7144F"/>
    <w:rsid w:val="00A72DF0"/>
    <w:rsid w:val="00A72FEA"/>
    <w:rsid w:val="00A7356A"/>
    <w:rsid w:val="00A7371E"/>
    <w:rsid w:val="00A7485D"/>
    <w:rsid w:val="00A76533"/>
    <w:rsid w:val="00A76784"/>
    <w:rsid w:val="00A77986"/>
    <w:rsid w:val="00A80459"/>
    <w:rsid w:val="00A84D0B"/>
    <w:rsid w:val="00A872FE"/>
    <w:rsid w:val="00A87719"/>
    <w:rsid w:val="00A90481"/>
    <w:rsid w:val="00A92303"/>
    <w:rsid w:val="00A9260E"/>
    <w:rsid w:val="00A92720"/>
    <w:rsid w:val="00A92750"/>
    <w:rsid w:val="00A9339A"/>
    <w:rsid w:val="00A956A2"/>
    <w:rsid w:val="00A96540"/>
    <w:rsid w:val="00A97A97"/>
    <w:rsid w:val="00AA03ED"/>
    <w:rsid w:val="00AA13B2"/>
    <w:rsid w:val="00AA27AC"/>
    <w:rsid w:val="00AA2BC6"/>
    <w:rsid w:val="00AA35BA"/>
    <w:rsid w:val="00AA54DC"/>
    <w:rsid w:val="00AA5A27"/>
    <w:rsid w:val="00AA5E6E"/>
    <w:rsid w:val="00AA6200"/>
    <w:rsid w:val="00AA6584"/>
    <w:rsid w:val="00AA6C10"/>
    <w:rsid w:val="00AA7610"/>
    <w:rsid w:val="00AA7C58"/>
    <w:rsid w:val="00AB0011"/>
    <w:rsid w:val="00AB2A41"/>
    <w:rsid w:val="00AB3388"/>
    <w:rsid w:val="00AB4734"/>
    <w:rsid w:val="00AB5328"/>
    <w:rsid w:val="00AB5862"/>
    <w:rsid w:val="00AB5990"/>
    <w:rsid w:val="00AB6C9D"/>
    <w:rsid w:val="00AB71BB"/>
    <w:rsid w:val="00AB7769"/>
    <w:rsid w:val="00AB7C2F"/>
    <w:rsid w:val="00AC0453"/>
    <w:rsid w:val="00AC1CE1"/>
    <w:rsid w:val="00AC21D1"/>
    <w:rsid w:val="00AC22CC"/>
    <w:rsid w:val="00AC3F5C"/>
    <w:rsid w:val="00AC416D"/>
    <w:rsid w:val="00AC4C81"/>
    <w:rsid w:val="00AC5538"/>
    <w:rsid w:val="00AC5DE3"/>
    <w:rsid w:val="00AC799D"/>
    <w:rsid w:val="00AD0523"/>
    <w:rsid w:val="00AD075B"/>
    <w:rsid w:val="00AD3796"/>
    <w:rsid w:val="00AD3BFE"/>
    <w:rsid w:val="00AD486A"/>
    <w:rsid w:val="00AD4C2E"/>
    <w:rsid w:val="00AD5040"/>
    <w:rsid w:val="00AD65F0"/>
    <w:rsid w:val="00AD6646"/>
    <w:rsid w:val="00AD6900"/>
    <w:rsid w:val="00AD71BC"/>
    <w:rsid w:val="00AD7DDB"/>
    <w:rsid w:val="00AE00B4"/>
    <w:rsid w:val="00AE051B"/>
    <w:rsid w:val="00AE169F"/>
    <w:rsid w:val="00AE29C1"/>
    <w:rsid w:val="00AE2B11"/>
    <w:rsid w:val="00AE2DDE"/>
    <w:rsid w:val="00AE3A44"/>
    <w:rsid w:val="00AE66A3"/>
    <w:rsid w:val="00AE6DD5"/>
    <w:rsid w:val="00AE731C"/>
    <w:rsid w:val="00AE7609"/>
    <w:rsid w:val="00AF258C"/>
    <w:rsid w:val="00AF5C3C"/>
    <w:rsid w:val="00AF7B67"/>
    <w:rsid w:val="00B0139A"/>
    <w:rsid w:val="00B013A0"/>
    <w:rsid w:val="00B02012"/>
    <w:rsid w:val="00B02D50"/>
    <w:rsid w:val="00B0411E"/>
    <w:rsid w:val="00B0567E"/>
    <w:rsid w:val="00B06582"/>
    <w:rsid w:val="00B07DB6"/>
    <w:rsid w:val="00B10BEF"/>
    <w:rsid w:val="00B1202F"/>
    <w:rsid w:val="00B12957"/>
    <w:rsid w:val="00B134C1"/>
    <w:rsid w:val="00B14206"/>
    <w:rsid w:val="00B14E56"/>
    <w:rsid w:val="00B1663D"/>
    <w:rsid w:val="00B16A48"/>
    <w:rsid w:val="00B16BE4"/>
    <w:rsid w:val="00B1731D"/>
    <w:rsid w:val="00B17B5C"/>
    <w:rsid w:val="00B20AC4"/>
    <w:rsid w:val="00B21147"/>
    <w:rsid w:val="00B21F58"/>
    <w:rsid w:val="00B22795"/>
    <w:rsid w:val="00B23BC4"/>
    <w:rsid w:val="00B275B7"/>
    <w:rsid w:val="00B30966"/>
    <w:rsid w:val="00B31CEF"/>
    <w:rsid w:val="00B32712"/>
    <w:rsid w:val="00B327F9"/>
    <w:rsid w:val="00B33432"/>
    <w:rsid w:val="00B3380A"/>
    <w:rsid w:val="00B339F6"/>
    <w:rsid w:val="00B3669A"/>
    <w:rsid w:val="00B408B8"/>
    <w:rsid w:val="00B40C9B"/>
    <w:rsid w:val="00B423BB"/>
    <w:rsid w:val="00B43299"/>
    <w:rsid w:val="00B43FA6"/>
    <w:rsid w:val="00B44354"/>
    <w:rsid w:val="00B4540C"/>
    <w:rsid w:val="00B457B5"/>
    <w:rsid w:val="00B45E1D"/>
    <w:rsid w:val="00B466AC"/>
    <w:rsid w:val="00B470CC"/>
    <w:rsid w:val="00B47CC7"/>
    <w:rsid w:val="00B50598"/>
    <w:rsid w:val="00B5089D"/>
    <w:rsid w:val="00B52450"/>
    <w:rsid w:val="00B53185"/>
    <w:rsid w:val="00B534D8"/>
    <w:rsid w:val="00B542DB"/>
    <w:rsid w:val="00B54C8D"/>
    <w:rsid w:val="00B55182"/>
    <w:rsid w:val="00B574A4"/>
    <w:rsid w:val="00B577E9"/>
    <w:rsid w:val="00B60050"/>
    <w:rsid w:val="00B60446"/>
    <w:rsid w:val="00B617B5"/>
    <w:rsid w:val="00B622D6"/>
    <w:rsid w:val="00B63402"/>
    <w:rsid w:val="00B63B94"/>
    <w:rsid w:val="00B63D88"/>
    <w:rsid w:val="00B648E4"/>
    <w:rsid w:val="00B65642"/>
    <w:rsid w:val="00B65C4E"/>
    <w:rsid w:val="00B66123"/>
    <w:rsid w:val="00B6688B"/>
    <w:rsid w:val="00B70F0A"/>
    <w:rsid w:val="00B7399D"/>
    <w:rsid w:val="00B73D8A"/>
    <w:rsid w:val="00B7493C"/>
    <w:rsid w:val="00B74966"/>
    <w:rsid w:val="00B75378"/>
    <w:rsid w:val="00B75B53"/>
    <w:rsid w:val="00B80DCD"/>
    <w:rsid w:val="00B81CCC"/>
    <w:rsid w:val="00B822C0"/>
    <w:rsid w:val="00B826C4"/>
    <w:rsid w:val="00B82B7A"/>
    <w:rsid w:val="00B8319C"/>
    <w:rsid w:val="00B834F6"/>
    <w:rsid w:val="00B834FF"/>
    <w:rsid w:val="00B83710"/>
    <w:rsid w:val="00B845C6"/>
    <w:rsid w:val="00B9026A"/>
    <w:rsid w:val="00B90A54"/>
    <w:rsid w:val="00B92F8B"/>
    <w:rsid w:val="00B931CA"/>
    <w:rsid w:val="00B942B0"/>
    <w:rsid w:val="00B953F5"/>
    <w:rsid w:val="00B95B2A"/>
    <w:rsid w:val="00B963A1"/>
    <w:rsid w:val="00B966EE"/>
    <w:rsid w:val="00B9729E"/>
    <w:rsid w:val="00B97E05"/>
    <w:rsid w:val="00B97EB0"/>
    <w:rsid w:val="00BA0AD4"/>
    <w:rsid w:val="00BA1EFC"/>
    <w:rsid w:val="00BA3A81"/>
    <w:rsid w:val="00BA4517"/>
    <w:rsid w:val="00BA4B75"/>
    <w:rsid w:val="00BA4E6E"/>
    <w:rsid w:val="00BA77E0"/>
    <w:rsid w:val="00BA7BE1"/>
    <w:rsid w:val="00BB051D"/>
    <w:rsid w:val="00BB05A2"/>
    <w:rsid w:val="00BB0A24"/>
    <w:rsid w:val="00BB0E4C"/>
    <w:rsid w:val="00BB1310"/>
    <w:rsid w:val="00BB1FF8"/>
    <w:rsid w:val="00BB30EE"/>
    <w:rsid w:val="00BB3192"/>
    <w:rsid w:val="00BB6300"/>
    <w:rsid w:val="00BB6FC2"/>
    <w:rsid w:val="00BC0D7B"/>
    <w:rsid w:val="00BC2C86"/>
    <w:rsid w:val="00BC2E2C"/>
    <w:rsid w:val="00BC5648"/>
    <w:rsid w:val="00BC5CC9"/>
    <w:rsid w:val="00BC62AB"/>
    <w:rsid w:val="00BD09BF"/>
    <w:rsid w:val="00BD0D54"/>
    <w:rsid w:val="00BD106C"/>
    <w:rsid w:val="00BD2B2C"/>
    <w:rsid w:val="00BD4CDE"/>
    <w:rsid w:val="00BD5B6B"/>
    <w:rsid w:val="00BD6076"/>
    <w:rsid w:val="00BD6A5B"/>
    <w:rsid w:val="00BD6CCE"/>
    <w:rsid w:val="00BD7D90"/>
    <w:rsid w:val="00BE21F6"/>
    <w:rsid w:val="00BE2D86"/>
    <w:rsid w:val="00BE2EA7"/>
    <w:rsid w:val="00BE307E"/>
    <w:rsid w:val="00BE4336"/>
    <w:rsid w:val="00BE4775"/>
    <w:rsid w:val="00BE5488"/>
    <w:rsid w:val="00BE57D5"/>
    <w:rsid w:val="00BE7040"/>
    <w:rsid w:val="00BF4AD0"/>
    <w:rsid w:val="00BF5596"/>
    <w:rsid w:val="00BF5AE2"/>
    <w:rsid w:val="00BF5C66"/>
    <w:rsid w:val="00C00D35"/>
    <w:rsid w:val="00C01892"/>
    <w:rsid w:val="00C01DC7"/>
    <w:rsid w:val="00C02283"/>
    <w:rsid w:val="00C02DFE"/>
    <w:rsid w:val="00C03064"/>
    <w:rsid w:val="00C03835"/>
    <w:rsid w:val="00C04776"/>
    <w:rsid w:val="00C05F19"/>
    <w:rsid w:val="00C071FE"/>
    <w:rsid w:val="00C107A2"/>
    <w:rsid w:val="00C11121"/>
    <w:rsid w:val="00C141B5"/>
    <w:rsid w:val="00C153F1"/>
    <w:rsid w:val="00C16E46"/>
    <w:rsid w:val="00C21CAF"/>
    <w:rsid w:val="00C22D1F"/>
    <w:rsid w:val="00C237B8"/>
    <w:rsid w:val="00C23D33"/>
    <w:rsid w:val="00C24C26"/>
    <w:rsid w:val="00C256A3"/>
    <w:rsid w:val="00C25833"/>
    <w:rsid w:val="00C26902"/>
    <w:rsid w:val="00C26DCC"/>
    <w:rsid w:val="00C30EF2"/>
    <w:rsid w:val="00C31155"/>
    <w:rsid w:val="00C311B0"/>
    <w:rsid w:val="00C31DE6"/>
    <w:rsid w:val="00C3309D"/>
    <w:rsid w:val="00C355F8"/>
    <w:rsid w:val="00C356F8"/>
    <w:rsid w:val="00C35858"/>
    <w:rsid w:val="00C371EB"/>
    <w:rsid w:val="00C374AB"/>
    <w:rsid w:val="00C40F88"/>
    <w:rsid w:val="00C41D7F"/>
    <w:rsid w:val="00C42B4E"/>
    <w:rsid w:val="00C4303D"/>
    <w:rsid w:val="00C44072"/>
    <w:rsid w:val="00C45566"/>
    <w:rsid w:val="00C457F9"/>
    <w:rsid w:val="00C4739D"/>
    <w:rsid w:val="00C50F0A"/>
    <w:rsid w:val="00C5163D"/>
    <w:rsid w:val="00C52442"/>
    <w:rsid w:val="00C53A9C"/>
    <w:rsid w:val="00C55ACD"/>
    <w:rsid w:val="00C55B39"/>
    <w:rsid w:val="00C60E3E"/>
    <w:rsid w:val="00C60ED9"/>
    <w:rsid w:val="00C61605"/>
    <w:rsid w:val="00C63518"/>
    <w:rsid w:val="00C64673"/>
    <w:rsid w:val="00C65A99"/>
    <w:rsid w:val="00C66175"/>
    <w:rsid w:val="00C66326"/>
    <w:rsid w:val="00C67B67"/>
    <w:rsid w:val="00C71D7B"/>
    <w:rsid w:val="00C71ED4"/>
    <w:rsid w:val="00C71F2B"/>
    <w:rsid w:val="00C764A2"/>
    <w:rsid w:val="00C76A16"/>
    <w:rsid w:val="00C76AD3"/>
    <w:rsid w:val="00C77D2D"/>
    <w:rsid w:val="00C8073D"/>
    <w:rsid w:val="00C80B71"/>
    <w:rsid w:val="00C80BF9"/>
    <w:rsid w:val="00C81820"/>
    <w:rsid w:val="00C81C15"/>
    <w:rsid w:val="00C81CB0"/>
    <w:rsid w:val="00C81FA6"/>
    <w:rsid w:val="00C8205A"/>
    <w:rsid w:val="00C83C1E"/>
    <w:rsid w:val="00C8454A"/>
    <w:rsid w:val="00C84FAF"/>
    <w:rsid w:val="00C85272"/>
    <w:rsid w:val="00C856DA"/>
    <w:rsid w:val="00C85CF8"/>
    <w:rsid w:val="00C86FA7"/>
    <w:rsid w:val="00C90DD8"/>
    <w:rsid w:val="00C91CBC"/>
    <w:rsid w:val="00C93D41"/>
    <w:rsid w:val="00C9539E"/>
    <w:rsid w:val="00C96F8A"/>
    <w:rsid w:val="00C97A7E"/>
    <w:rsid w:val="00CA0215"/>
    <w:rsid w:val="00CA2251"/>
    <w:rsid w:val="00CA3C01"/>
    <w:rsid w:val="00CA59E4"/>
    <w:rsid w:val="00CA6165"/>
    <w:rsid w:val="00CA73CC"/>
    <w:rsid w:val="00CA7C3F"/>
    <w:rsid w:val="00CA7E22"/>
    <w:rsid w:val="00CA7E3C"/>
    <w:rsid w:val="00CB07F5"/>
    <w:rsid w:val="00CB09B7"/>
    <w:rsid w:val="00CB1DF2"/>
    <w:rsid w:val="00CB1F12"/>
    <w:rsid w:val="00CB2292"/>
    <w:rsid w:val="00CB22BD"/>
    <w:rsid w:val="00CB4896"/>
    <w:rsid w:val="00CB5387"/>
    <w:rsid w:val="00CB5733"/>
    <w:rsid w:val="00CB6285"/>
    <w:rsid w:val="00CB7088"/>
    <w:rsid w:val="00CB7AF0"/>
    <w:rsid w:val="00CB7E94"/>
    <w:rsid w:val="00CC1F18"/>
    <w:rsid w:val="00CC2DF5"/>
    <w:rsid w:val="00CC35E5"/>
    <w:rsid w:val="00CC4741"/>
    <w:rsid w:val="00CC6920"/>
    <w:rsid w:val="00CC709D"/>
    <w:rsid w:val="00CC7FF3"/>
    <w:rsid w:val="00CD09AD"/>
    <w:rsid w:val="00CD0FB2"/>
    <w:rsid w:val="00CD1201"/>
    <w:rsid w:val="00CD174B"/>
    <w:rsid w:val="00CD2245"/>
    <w:rsid w:val="00CD261E"/>
    <w:rsid w:val="00CD3B29"/>
    <w:rsid w:val="00CD558C"/>
    <w:rsid w:val="00CD5A89"/>
    <w:rsid w:val="00CD5AC8"/>
    <w:rsid w:val="00CD7D35"/>
    <w:rsid w:val="00CE1132"/>
    <w:rsid w:val="00CE2431"/>
    <w:rsid w:val="00CE59AE"/>
    <w:rsid w:val="00CE65B9"/>
    <w:rsid w:val="00CE788E"/>
    <w:rsid w:val="00CE7DC6"/>
    <w:rsid w:val="00CF1045"/>
    <w:rsid w:val="00CF19B8"/>
    <w:rsid w:val="00CF2085"/>
    <w:rsid w:val="00CF2F9F"/>
    <w:rsid w:val="00CF3657"/>
    <w:rsid w:val="00CF42CA"/>
    <w:rsid w:val="00CF6DC2"/>
    <w:rsid w:val="00CF7CA6"/>
    <w:rsid w:val="00D00B7E"/>
    <w:rsid w:val="00D0247A"/>
    <w:rsid w:val="00D02A8B"/>
    <w:rsid w:val="00D034A0"/>
    <w:rsid w:val="00D03CDF"/>
    <w:rsid w:val="00D04A63"/>
    <w:rsid w:val="00D04ABA"/>
    <w:rsid w:val="00D04DB5"/>
    <w:rsid w:val="00D0582E"/>
    <w:rsid w:val="00D067CF"/>
    <w:rsid w:val="00D06DC2"/>
    <w:rsid w:val="00D10023"/>
    <w:rsid w:val="00D11402"/>
    <w:rsid w:val="00D11F41"/>
    <w:rsid w:val="00D1343B"/>
    <w:rsid w:val="00D13D2D"/>
    <w:rsid w:val="00D14F61"/>
    <w:rsid w:val="00D14FFE"/>
    <w:rsid w:val="00D16FA2"/>
    <w:rsid w:val="00D174A8"/>
    <w:rsid w:val="00D17B6B"/>
    <w:rsid w:val="00D2029C"/>
    <w:rsid w:val="00D20A04"/>
    <w:rsid w:val="00D20C58"/>
    <w:rsid w:val="00D224D0"/>
    <w:rsid w:val="00D234FE"/>
    <w:rsid w:val="00D25B3B"/>
    <w:rsid w:val="00D30F55"/>
    <w:rsid w:val="00D314E4"/>
    <w:rsid w:val="00D31BC9"/>
    <w:rsid w:val="00D329E0"/>
    <w:rsid w:val="00D33DAF"/>
    <w:rsid w:val="00D35714"/>
    <w:rsid w:val="00D35E7F"/>
    <w:rsid w:val="00D35E96"/>
    <w:rsid w:val="00D368C6"/>
    <w:rsid w:val="00D3697F"/>
    <w:rsid w:val="00D37398"/>
    <w:rsid w:val="00D373E6"/>
    <w:rsid w:val="00D3759B"/>
    <w:rsid w:val="00D37D17"/>
    <w:rsid w:val="00D40467"/>
    <w:rsid w:val="00D4053E"/>
    <w:rsid w:val="00D40842"/>
    <w:rsid w:val="00D40F84"/>
    <w:rsid w:val="00D41AD3"/>
    <w:rsid w:val="00D446BF"/>
    <w:rsid w:val="00D44A09"/>
    <w:rsid w:val="00D47FB0"/>
    <w:rsid w:val="00D50E24"/>
    <w:rsid w:val="00D517DF"/>
    <w:rsid w:val="00D52648"/>
    <w:rsid w:val="00D54162"/>
    <w:rsid w:val="00D623F9"/>
    <w:rsid w:val="00D645E7"/>
    <w:rsid w:val="00D67227"/>
    <w:rsid w:val="00D67521"/>
    <w:rsid w:val="00D70604"/>
    <w:rsid w:val="00D70A27"/>
    <w:rsid w:val="00D70C40"/>
    <w:rsid w:val="00D7216B"/>
    <w:rsid w:val="00D740F0"/>
    <w:rsid w:val="00D75354"/>
    <w:rsid w:val="00D77151"/>
    <w:rsid w:val="00D77524"/>
    <w:rsid w:val="00D77E8B"/>
    <w:rsid w:val="00D8146C"/>
    <w:rsid w:val="00D81A71"/>
    <w:rsid w:val="00D81FD8"/>
    <w:rsid w:val="00D84278"/>
    <w:rsid w:val="00D858DE"/>
    <w:rsid w:val="00D85D70"/>
    <w:rsid w:val="00D86604"/>
    <w:rsid w:val="00D869B0"/>
    <w:rsid w:val="00D90181"/>
    <w:rsid w:val="00D925A8"/>
    <w:rsid w:val="00D930B5"/>
    <w:rsid w:val="00D93367"/>
    <w:rsid w:val="00D93890"/>
    <w:rsid w:val="00D9390B"/>
    <w:rsid w:val="00D9669F"/>
    <w:rsid w:val="00D970AE"/>
    <w:rsid w:val="00DA01FE"/>
    <w:rsid w:val="00DA082E"/>
    <w:rsid w:val="00DA094B"/>
    <w:rsid w:val="00DA3062"/>
    <w:rsid w:val="00DA43D5"/>
    <w:rsid w:val="00DA6736"/>
    <w:rsid w:val="00DB00A8"/>
    <w:rsid w:val="00DB0D8E"/>
    <w:rsid w:val="00DB2049"/>
    <w:rsid w:val="00DB29FC"/>
    <w:rsid w:val="00DB2E1C"/>
    <w:rsid w:val="00DB3C48"/>
    <w:rsid w:val="00DB3E1E"/>
    <w:rsid w:val="00DB41B3"/>
    <w:rsid w:val="00DB4A2C"/>
    <w:rsid w:val="00DB541D"/>
    <w:rsid w:val="00DB65F0"/>
    <w:rsid w:val="00DB696D"/>
    <w:rsid w:val="00DB76FA"/>
    <w:rsid w:val="00DB7F16"/>
    <w:rsid w:val="00DC1B1B"/>
    <w:rsid w:val="00DC296A"/>
    <w:rsid w:val="00DC2FEF"/>
    <w:rsid w:val="00DC36EF"/>
    <w:rsid w:val="00DC4FE0"/>
    <w:rsid w:val="00DC57B5"/>
    <w:rsid w:val="00DC7C59"/>
    <w:rsid w:val="00DD18AA"/>
    <w:rsid w:val="00DD2215"/>
    <w:rsid w:val="00DD2B88"/>
    <w:rsid w:val="00DD2BAB"/>
    <w:rsid w:val="00DD2E75"/>
    <w:rsid w:val="00DD3AF8"/>
    <w:rsid w:val="00DD4BE3"/>
    <w:rsid w:val="00DD516A"/>
    <w:rsid w:val="00DD55E3"/>
    <w:rsid w:val="00DD5A18"/>
    <w:rsid w:val="00DD62AF"/>
    <w:rsid w:val="00DD6D17"/>
    <w:rsid w:val="00DD7F8B"/>
    <w:rsid w:val="00DE0404"/>
    <w:rsid w:val="00DE5B51"/>
    <w:rsid w:val="00DF0F26"/>
    <w:rsid w:val="00DF1411"/>
    <w:rsid w:val="00DF17F0"/>
    <w:rsid w:val="00DF1C6F"/>
    <w:rsid w:val="00DF3675"/>
    <w:rsid w:val="00DF6111"/>
    <w:rsid w:val="00DF74B2"/>
    <w:rsid w:val="00DF763A"/>
    <w:rsid w:val="00DF7E24"/>
    <w:rsid w:val="00E01D99"/>
    <w:rsid w:val="00E02F29"/>
    <w:rsid w:val="00E0479C"/>
    <w:rsid w:val="00E066F2"/>
    <w:rsid w:val="00E06B8D"/>
    <w:rsid w:val="00E072E8"/>
    <w:rsid w:val="00E0768B"/>
    <w:rsid w:val="00E108C3"/>
    <w:rsid w:val="00E1145F"/>
    <w:rsid w:val="00E13B6A"/>
    <w:rsid w:val="00E14AD0"/>
    <w:rsid w:val="00E16858"/>
    <w:rsid w:val="00E16ACC"/>
    <w:rsid w:val="00E17BC4"/>
    <w:rsid w:val="00E2002C"/>
    <w:rsid w:val="00E20C1A"/>
    <w:rsid w:val="00E214B9"/>
    <w:rsid w:val="00E216A6"/>
    <w:rsid w:val="00E225F7"/>
    <w:rsid w:val="00E226F9"/>
    <w:rsid w:val="00E22B5E"/>
    <w:rsid w:val="00E23F9E"/>
    <w:rsid w:val="00E251E8"/>
    <w:rsid w:val="00E30835"/>
    <w:rsid w:val="00E31739"/>
    <w:rsid w:val="00E34F41"/>
    <w:rsid w:val="00E36788"/>
    <w:rsid w:val="00E37141"/>
    <w:rsid w:val="00E40B72"/>
    <w:rsid w:val="00E410CD"/>
    <w:rsid w:val="00E4317D"/>
    <w:rsid w:val="00E45051"/>
    <w:rsid w:val="00E45593"/>
    <w:rsid w:val="00E45EB4"/>
    <w:rsid w:val="00E46467"/>
    <w:rsid w:val="00E52ECD"/>
    <w:rsid w:val="00E543CE"/>
    <w:rsid w:val="00E553F2"/>
    <w:rsid w:val="00E55568"/>
    <w:rsid w:val="00E55CFD"/>
    <w:rsid w:val="00E57F0D"/>
    <w:rsid w:val="00E60B5F"/>
    <w:rsid w:val="00E60B64"/>
    <w:rsid w:val="00E61281"/>
    <w:rsid w:val="00E61FDD"/>
    <w:rsid w:val="00E62996"/>
    <w:rsid w:val="00E637FC"/>
    <w:rsid w:val="00E642F5"/>
    <w:rsid w:val="00E70373"/>
    <w:rsid w:val="00E70887"/>
    <w:rsid w:val="00E7156D"/>
    <w:rsid w:val="00E71AA7"/>
    <w:rsid w:val="00E74581"/>
    <w:rsid w:val="00E75F2F"/>
    <w:rsid w:val="00E803D7"/>
    <w:rsid w:val="00E8275E"/>
    <w:rsid w:val="00E82925"/>
    <w:rsid w:val="00E82A9B"/>
    <w:rsid w:val="00E849B9"/>
    <w:rsid w:val="00E850D6"/>
    <w:rsid w:val="00E85CBD"/>
    <w:rsid w:val="00E874B6"/>
    <w:rsid w:val="00E91E37"/>
    <w:rsid w:val="00E92A4B"/>
    <w:rsid w:val="00E92E54"/>
    <w:rsid w:val="00E93516"/>
    <w:rsid w:val="00E94332"/>
    <w:rsid w:val="00E94F8C"/>
    <w:rsid w:val="00E95943"/>
    <w:rsid w:val="00E968FE"/>
    <w:rsid w:val="00E9779A"/>
    <w:rsid w:val="00E97D27"/>
    <w:rsid w:val="00EA09A2"/>
    <w:rsid w:val="00EA0A7E"/>
    <w:rsid w:val="00EA1EBE"/>
    <w:rsid w:val="00EA25C4"/>
    <w:rsid w:val="00EA2979"/>
    <w:rsid w:val="00EA39A2"/>
    <w:rsid w:val="00EA3A77"/>
    <w:rsid w:val="00EA5019"/>
    <w:rsid w:val="00EA58EC"/>
    <w:rsid w:val="00EA5DF5"/>
    <w:rsid w:val="00EA75F6"/>
    <w:rsid w:val="00EB02F3"/>
    <w:rsid w:val="00EB0C63"/>
    <w:rsid w:val="00EB3173"/>
    <w:rsid w:val="00EB3B64"/>
    <w:rsid w:val="00EB4254"/>
    <w:rsid w:val="00EB42F7"/>
    <w:rsid w:val="00EB473D"/>
    <w:rsid w:val="00EB5F78"/>
    <w:rsid w:val="00EB69C1"/>
    <w:rsid w:val="00EB6DB2"/>
    <w:rsid w:val="00EB7CDD"/>
    <w:rsid w:val="00EC08E6"/>
    <w:rsid w:val="00EC1B42"/>
    <w:rsid w:val="00EC2CCD"/>
    <w:rsid w:val="00EC4AFE"/>
    <w:rsid w:val="00EC4BFA"/>
    <w:rsid w:val="00EC5ABE"/>
    <w:rsid w:val="00EC644B"/>
    <w:rsid w:val="00EC6589"/>
    <w:rsid w:val="00EC6631"/>
    <w:rsid w:val="00EC69B6"/>
    <w:rsid w:val="00ED1AAF"/>
    <w:rsid w:val="00ED2598"/>
    <w:rsid w:val="00ED318B"/>
    <w:rsid w:val="00ED3E03"/>
    <w:rsid w:val="00ED47C6"/>
    <w:rsid w:val="00ED60C5"/>
    <w:rsid w:val="00EE01B9"/>
    <w:rsid w:val="00EE0377"/>
    <w:rsid w:val="00EE163D"/>
    <w:rsid w:val="00EE1F83"/>
    <w:rsid w:val="00EE278E"/>
    <w:rsid w:val="00EE2CE9"/>
    <w:rsid w:val="00EE2CEE"/>
    <w:rsid w:val="00EE5E79"/>
    <w:rsid w:val="00EE744E"/>
    <w:rsid w:val="00EF04E4"/>
    <w:rsid w:val="00EF2B7D"/>
    <w:rsid w:val="00EF35B3"/>
    <w:rsid w:val="00EF36A7"/>
    <w:rsid w:val="00EF436D"/>
    <w:rsid w:val="00EF71BE"/>
    <w:rsid w:val="00EF78E3"/>
    <w:rsid w:val="00F02179"/>
    <w:rsid w:val="00F0298D"/>
    <w:rsid w:val="00F05898"/>
    <w:rsid w:val="00F069CE"/>
    <w:rsid w:val="00F06A57"/>
    <w:rsid w:val="00F07C00"/>
    <w:rsid w:val="00F07DC3"/>
    <w:rsid w:val="00F10599"/>
    <w:rsid w:val="00F11A4B"/>
    <w:rsid w:val="00F11CC6"/>
    <w:rsid w:val="00F121FD"/>
    <w:rsid w:val="00F1248A"/>
    <w:rsid w:val="00F12B68"/>
    <w:rsid w:val="00F14B8A"/>
    <w:rsid w:val="00F16A65"/>
    <w:rsid w:val="00F16C75"/>
    <w:rsid w:val="00F17193"/>
    <w:rsid w:val="00F176B5"/>
    <w:rsid w:val="00F22D51"/>
    <w:rsid w:val="00F26AFB"/>
    <w:rsid w:val="00F27D27"/>
    <w:rsid w:val="00F300FF"/>
    <w:rsid w:val="00F31322"/>
    <w:rsid w:val="00F31498"/>
    <w:rsid w:val="00F3355E"/>
    <w:rsid w:val="00F33A36"/>
    <w:rsid w:val="00F348E0"/>
    <w:rsid w:val="00F34CF7"/>
    <w:rsid w:val="00F34E16"/>
    <w:rsid w:val="00F3549A"/>
    <w:rsid w:val="00F362BB"/>
    <w:rsid w:val="00F364B2"/>
    <w:rsid w:val="00F36AF6"/>
    <w:rsid w:val="00F36C80"/>
    <w:rsid w:val="00F40334"/>
    <w:rsid w:val="00F4056B"/>
    <w:rsid w:val="00F41460"/>
    <w:rsid w:val="00F41699"/>
    <w:rsid w:val="00F41706"/>
    <w:rsid w:val="00F41718"/>
    <w:rsid w:val="00F42A32"/>
    <w:rsid w:val="00F42D7D"/>
    <w:rsid w:val="00F447D3"/>
    <w:rsid w:val="00F47568"/>
    <w:rsid w:val="00F51A2B"/>
    <w:rsid w:val="00F52BA1"/>
    <w:rsid w:val="00F535DA"/>
    <w:rsid w:val="00F5381F"/>
    <w:rsid w:val="00F53A8B"/>
    <w:rsid w:val="00F5467F"/>
    <w:rsid w:val="00F54C58"/>
    <w:rsid w:val="00F56459"/>
    <w:rsid w:val="00F565F0"/>
    <w:rsid w:val="00F566E0"/>
    <w:rsid w:val="00F56C86"/>
    <w:rsid w:val="00F57E4A"/>
    <w:rsid w:val="00F6243D"/>
    <w:rsid w:val="00F62678"/>
    <w:rsid w:val="00F626DC"/>
    <w:rsid w:val="00F62BF0"/>
    <w:rsid w:val="00F62E3E"/>
    <w:rsid w:val="00F639DF"/>
    <w:rsid w:val="00F64F45"/>
    <w:rsid w:val="00F6704A"/>
    <w:rsid w:val="00F70A7F"/>
    <w:rsid w:val="00F71193"/>
    <w:rsid w:val="00F72F9E"/>
    <w:rsid w:val="00F732A3"/>
    <w:rsid w:val="00F7388A"/>
    <w:rsid w:val="00F73C05"/>
    <w:rsid w:val="00F76F55"/>
    <w:rsid w:val="00F770B5"/>
    <w:rsid w:val="00F771D1"/>
    <w:rsid w:val="00F805BA"/>
    <w:rsid w:val="00F80F3B"/>
    <w:rsid w:val="00F826C1"/>
    <w:rsid w:val="00F84032"/>
    <w:rsid w:val="00F84513"/>
    <w:rsid w:val="00F8462C"/>
    <w:rsid w:val="00F85B63"/>
    <w:rsid w:val="00F86A30"/>
    <w:rsid w:val="00F86B55"/>
    <w:rsid w:val="00F87532"/>
    <w:rsid w:val="00F90A81"/>
    <w:rsid w:val="00F90ABB"/>
    <w:rsid w:val="00F91761"/>
    <w:rsid w:val="00F9215A"/>
    <w:rsid w:val="00F93E44"/>
    <w:rsid w:val="00F951AD"/>
    <w:rsid w:val="00F95BAA"/>
    <w:rsid w:val="00F96237"/>
    <w:rsid w:val="00F96D11"/>
    <w:rsid w:val="00F97810"/>
    <w:rsid w:val="00FA1486"/>
    <w:rsid w:val="00FA1B81"/>
    <w:rsid w:val="00FA25A7"/>
    <w:rsid w:val="00FA2938"/>
    <w:rsid w:val="00FA2964"/>
    <w:rsid w:val="00FA3501"/>
    <w:rsid w:val="00FA5CFC"/>
    <w:rsid w:val="00FA6EF5"/>
    <w:rsid w:val="00FA6F23"/>
    <w:rsid w:val="00FB0EEE"/>
    <w:rsid w:val="00FB1642"/>
    <w:rsid w:val="00FB1D2C"/>
    <w:rsid w:val="00FB1E20"/>
    <w:rsid w:val="00FB34BE"/>
    <w:rsid w:val="00FB3DD3"/>
    <w:rsid w:val="00FB43A7"/>
    <w:rsid w:val="00FB461E"/>
    <w:rsid w:val="00FB6411"/>
    <w:rsid w:val="00FB72AD"/>
    <w:rsid w:val="00FC1048"/>
    <w:rsid w:val="00FC153A"/>
    <w:rsid w:val="00FC17BA"/>
    <w:rsid w:val="00FC1EDF"/>
    <w:rsid w:val="00FC2484"/>
    <w:rsid w:val="00FC26A0"/>
    <w:rsid w:val="00FC3DEE"/>
    <w:rsid w:val="00FC4BD5"/>
    <w:rsid w:val="00FC6648"/>
    <w:rsid w:val="00FC7C7C"/>
    <w:rsid w:val="00FD03B6"/>
    <w:rsid w:val="00FD045F"/>
    <w:rsid w:val="00FD0ACE"/>
    <w:rsid w:val="00FD2112"/>
    <w:rsid w:val="00FD299D"/>
    <w:rsid w:val="00FD4B9E"/>
    <w:rsid w:val="00FD4C6E"/>
    <w:rsid w:val="00FD5369"/>
    <w:rsid w:val="00FE05E8"/>
    <w:rsid w:val="00FE141B"/>
    <w:rsid w:val="00FE3890"/>
    <w:rsid w:val="00FE4D87"/>
    <w:rsid w:val="00FE682E"/>
    <w:rsid w:val="00FF0357"/>
    <w:rsid w:val="00FF114A"/>
    <w:rsid w:val="00FF3DFC"/>
    <w:rsid w:val="00FF3FE4"/>
    <w:rsid w:val="00FF494E"/>
    <w:rsid w:val="00FF5839"/>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5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D4"/>
    <w:pPr>
      <w:tabs>
        <w:tab w:val="center" w:pos="4252"/>
        <w:tab w:val="right" w:pos="8504"/>
      </w:tabs>
      <w:snapToGrid w:val="0"/>
    </w:pPr>
  </w:style>
  <w:style w:type="character" w:customStyle="1" w:styleId="a4">
    <w:name w:val="ヘッダー (文字)"/>
    <w:basedOn w:val="a0"/>
    <w:link w:val="a3"/>
    <w:uiPriority w:val="99"/>
    <w:rsid w:val="00BA0AD4"/>
  </w:style>
  <w:style w:type="paragraph" w:styleId="a5">
    <w:name w:val="footer"/>
    <w:basedOn w:val="a"/>
    <w:link w:val="a6"/>
    <w:uiPriority w:val="99"/>
    <w:unhideWhenUsed/>
    <w:rsid w:val="00BA0AD4"/>
    <w:pPr>
      <w:tabs>
        <w:tab w:val="center" w:pos="4252"/>
        <w:tab w:val="right" w:pos="8504"/>
      </w:tabs>
      <w:snapToGrid w:val="0"/>
    </w:pPr>
  </w:style>
  <w:style w:type="character" w:customStyle="1" w:styleId="a6">
    <w:name w:val="フッター (文字)"/>
    <w:basedOn w:val="a0"/>
    <w:link w:val="a5"/>
    <w:uiPriority w:val="99"/>
    <w:rsid w:val="00BA0AD4"/>
  </w:style>
  <w:style w:type="paragraph" w:styleId="Web">
    <w:name w:val="Normal (Web)"/>
    <w:basedOn w:val="a"/>
    <w:uiPriority w:val="99"/>
    <w:semiHidden/>
    <w:unhideWhenUsed/>
    <w:rsid w:val="00BA0AD4"/>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s-IN"/>
    </w:rPr>
  </w:style>
  <w:style w:type="paragraph" w:styleId="a7">
    <w:name w:val="List Paragraph"/>
    <w:basedOn w:val="a"/>
    <w:uiPriority w:val="34"/>
    <w:qFormat/>
    <w:rsid w:val="00590329"/>
    <w:pPr>
      <w:widowControl/>
      <w:ind w:leftChars="400" w:left="840"/>
      <w:jc w:val="left"/>
    </w:pPr>
    <w:rPr>
      <w:rFonts w:ascii="ＭＳ Ｐゴシック" w:eastAsia="ＭＳ Ｐゴシック" w:hAnsi="ＭＳ Ｐゴシック" w:cs="ＭＳ Ｐゴシック"/>
      <w:kern w:val="0"/>
      <w:sz w:val="24"/>
      <w:szCs w:val="30"/>
      <w:lang w:bidi="as-IN"/>
    </w:rPr>
  </w:style>
  <w:style w:type="paragraph" w:styleId="a8">
    <w:name w:val="footnote text"/>
    <w:basedOn w:val="a"/>
    <w:link w:val="a9"/>
    <w:uiPriority w:val="99"/>
    <w:semiHidden/>
    <w:unhideWhenUsed/>
    <w:rsid w:val="00524294"/>
    <w:pPr>
      <w:snapToGrid w:val="0"/>
      <w:jc w:val="left"/>
    </w:pPr>
  </w:style>
  <w:style w:type="character" w:customStyle="1" w:styleId="a9">
    <w:name w:val="脚注文字列 (文字)"/>
    <w:basedOn w:val="a0"/>
    <w:link w:val="a8"/>
    <w:uiPriority w:val="99"/>
    <w:semiHidden/>
    <w:rsid w:val="00524294"/>
  </w:style>
  <w:style w:type="character" w:styleId="aa">
    <w:name w:val="footnote reference"/>
    <w:basedOn w:val="a0"/>
    <w:uiPriority w:val="99"/>
    <w:semiHidden/>
    <w:unhideWhenUsed/>
    <w:rsid w:val="00524294"/>
    <w:rPr>
      <w:vertAlign w:val="superscript"/>
    </w:rPr>
  </w:style>
  <w:style w:type="paragraph" w:styleId="ab">
    <w:name w:val="Balloon Text"/>
    <w:basedOn w:val="a"/>
    <w:link w:val="ac"/>
    <w:uiPriority w:val="99"/>
    <w:semiHidden/>
    <w:unhideWhenUsed/>
    <w:rsid w:val="005242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429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F5AE2"/>
  </w:style>
  <w:style w:type="character" w:customStyle="1" w:styleId="ae">
    <w:name w:val="日付 (文字)"/>
    <w:basedOn w:val="a0"/>
    <w:link w:val="ad"/>
    <w:uiPriority w:val="99"/>
    <w:semiHidden/>
    <w:rsid w:val="00BF5AE2"/>
  </w:style>
  <w:style w:type="table" w:styleId="af">
    <w:name w:val="Table Grid"/>
    <w:basedOn w:val="a1"/>
    <w:uiPriority w:val="59"/>
    <w:rsid w:val="002B1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A201F"/>
    <w:rPr>
      <w:sz w:val="18"/>
      <w:szCs w:val="18"/>
    </w:rPr>
  </w:style>
  <w:style w:type="paragraph" w:styleId="af1">
    <w:name w:val="annotation text"/>
    <w:basedOn w:val="a"/>
    <w:link w:val="af2"/>
    <w:uiPriority w:val="99"/>
    <w:semiHidden/>
    <w:unhideWhenUsed/>
    <w:rsid w:val="004A201F"/>
    <w:pPr>
      <w:jc w:val="left"/>
    </w:pPr>
  </w:style>
  <w:style w:type="character" w:customStyle="1" w:styleId="af2">
    <w:name w:val="コメント文字列 (文字)"/>
    <w:basedOn w:val="a0"/>
    <w:link w:val="af1"/>
    <w:uiPriority w:val="99"/>
    <w:semiHidden/>
    <w:rsid w:val="004A201F"/>
  </w:style>
  <w:style w:type="paragraph" w:styleId="af3">
    <w:name w:val="annotation subject"/>
    <w:basedOn w:val="af1"/>
    <w:next w:val="af1"/>
    <w:link w:val="af4"/>
    <w:uiPriority w:val="99"/>
    <w:semiHidden/>
    <w:unhideWhenUsed/>
    <w:rsid w:val="004A201F"/>
    <w:rPr>
      <w:b/>
      <w:bCs/>
    </w:rPr>
  </w:style>
  <w:style w:type="character" w:customStyle="1" w:styleId="af4">
    <w:name w:val="コメント内容 (文字)"/>
    <w:basedOn w:val="af2"/>
    <w:link w:val="af3"/>
    <w:uiPriority w:val="99"/>
    <w:semiHidden/>
    <w:rsid w:val="004A201F"/>
    <w:rPr>
      <w:b/>
      <w:bCs/>
    </w:rPr>
  </w:style>
  <w:style w:type="paragraph" w:styleId="af5">
    <w:name w:val="Revision"/>
    <w:hidden/>
    <w:uiPriority w:val="99"/>
    <w:semiHidden/>
    <w:rsid w:val="004A2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D4"/>
    <w:pPr>
      <w:tabs>
        <w:tab w:val="center" w:pos="4252"/>
        <w:tab w:val="right" w:pos="8504"/>
      </w:tabs>
      <w:snapToGrid w:val="0"/>
    </w:pPr>
  </w:style>
  <w:style w:type="character" w:customStyle="1" w:styleId="a4">
    <w:name w:val="ヘッダー (文字)"/>
    <w:basedOn w:val="a0"/>
    <w:link w:val="a3"/>
    <w:uiPriority w:val="99"/>
    <w:rsid w:val="00BA0AD4"/>
  </w:style>
  <w:style w:type="paragraph" w:styleId="a5">
    <w:name w:val="footer"/>
    <w:basedOn w:val="a"/>
    <w:link w:val="a6"/>
    <w:uiPriority w:val="99"/>
    <w:unhideWhenUsed/>
    <w:rsid w:val="00BA0AD4"/>
    <w:pPr>
      <w:tabs>
        <w:tab w:val="center" w:pos="4252"/>
        <w:tab w:val="right" w:pos="8504"/>
      </w:tabs>
      <w:snapToGrid w:val="0"/>
    </w:pPr>
  </w:style>
  <w:style w:type="character" w:customStyle="1" w:styleId="a6">
    <w:name w:val="フッター (文字)"/>
    <w:basedOn w:val="a0"/>
    <w:link w:val="a5"/>
    <w:uiPriority w:val="99"/>
    <w:rsid w:val="00BA0AD4"/>
  </w:style>
  <w:style w:type="paragraph" w:styleId="Web">
    <w:name w:val="Normal (Web)"/>
    <w:basedOn w:val="a"/>
    <w:uiPriority w:val="99"/>
    <w:semiHidden/>
    <w:unhideWhenUsed/>
    <w:rsid w:val="00BA0AD4"/>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s-IN"/>
    </w:rPr>
  </w:style>
  <w:style w:type="paragraph" w:styleId="a7">
    <w:name w:val="List Paragraph"/>
    <w:basedOn w:val="a"/>
    <w:uiPriority w:val="34"/>
    <w:qFormat/>
    <w:rsid w:val="00590329"/>
    <w:pPr>
      <w:widowControl/>
      <w:ind w:leftChars="400" w:left="840"/>
      <w:jc w:val="left"/>
    </w:pPr>
    <w:rPr>
      <w:rFonts w:ascii="ＭＳ Ｐゴシック" w:eastAsia="ＭＳ Ｐゴシック" w:hAnsi="ＭＳ Ｐゴシック" w:cs="ＭＳ Ｐゴシック"/>
      <w:kern w:val="0"/>
      <w:sz w:val="24"/>
      <w:szCs w:val="30"/>
      <w:lang w:bidi="as-IN"/>
    </w:rPr>
  </w:style>
  <w:style w:type="paragraph" w:styleId="a8">
    <w:name w:val="footnote text"/>
    <w:basedOn w:val="a"/>
    <w:link w:val="a9"/>
    <w:uiPriority w:val="99"/>
    <w:semiHidden/>
    <w:unhideWhenUsed/>
    <w:rsid w:val="00524294"/>
    <w:pPr>
      <w:snapToGrid w:val="0"/>
      <w:jc w:val="left"/>
    </w:pPr>
  </w:style>
  <w:style w:type="character" w:customStyle="1" w:styleId="a9">
    <w:name w:val="脚注文字列 (文字)"/>
    <w:basedOn w:val="a0"/>
    <w:link w:val="a8"/>
    <w:uiPriority w:val="99"/>
    <w:semiHidden/>
    <w:rsid w:val="00524294"/>
  </w:style>
  <w:style w:type="character" w:styleId="aa">
    <w:name w:val="footnote reference"/>
    <w:basedOn w:val="a0"/>
    <w:uiPriority w:val="99"/>
    <w:semiHidden/>
    <w:unhideWhenUsed/>
    <w:rsid w:val="00524294"/>
    <w:rPr>
      <w:vertAlign w:val="superscript"/>
    </w:rPr>
  </w:style>
  <w:style w:type="paragraph" w:styleId="ab">
    <w:name w:val="Balloon Text"/>
    <w:basedOn w:val="a"/>
    <w:link w:val="ac"/>
    <w:uiPriority w:val="99"/>
    <w:semiHidden/>
    <w:unhideWhenUsed/>
    <w:rsid w:val="005242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429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F5AE2"/>
  </w:style>
  <w:style w:type="character" w:customStyle="1" w:styleId="ae">
    <w:name w:val="日付 (文字)"/>
    <w:basedOn w:val="a0"/>
    <w:link w:val="ad"/>
    <w:uiPriority w:val="99"/>
    <w:semiHidden/>
    <w:rsid w:val="00BF5AE2"/>
  </w:style>
  <w:style w:type="table" w:styleId="af">
    <w:name w:val="Table Grid"/>
    <w:basedOn w:val="a1"/>
    <w:uiPriority w:val="59"/>
    <w:rsid w:val="002B1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A201F"/>
    <w:rPr>
      <w:sz w:val="18"/>
      <w:szCs w:val="18"/>
    </w:rPr>
  </w:style>
  <w:style w:type="paragraph" w:styleId="af1">
    <w:name w:val="annotation text"/>
    <w:basedOn w:val="a"/>
    <w:link w:val="af2"/>
    <w:uiPriority w:val="99"/>
    <w:semiHidden/>
    <w:unhideWhenUsed/>
    <w:rsid w:val="004A201F"/>
    <w:pPr>
      <w:jc w:val="left"/>
    </w:pPr>
  </w:style>
  <w:style w:type="character" w:customStyle="1" w:styleId="af2">
    <w:name w:val="コメント文字列 (文字)"/>
    <w:basedOn w:val="a0"/>
    <w:link w:val="af1"/>
    <w:uiPriority w:val="99"/>
    <w:semiHidden/>
    <w:rsid w:val="004A201F"/>
  </w:style>
  <w:style w:type="paragraph" w:styleId="af3">
    <w:name w:val="annotation subject"/>
    <w:basedOn w:val="af1"/>
    <w:next w:val="af1"/>
    <w:link w:val="af4"/>
    <w:uiPriority w:val="99"/>
    <w:semiHidden/>
    <w:unhideWhenUsed/>
    <w:rsid w:val="004A201F"/>
    <w:rPr>
      <w:b/>
      <w:bCs/>
    </w:rPr>
  </w:style>
  <w:style w:type="character" w:customStyle="1" w:styleId="af4">
    <w:name w:val="コメント内容 (文字)"/>
    <w:basedOn w:val="af2"/>
    <w:link w:val="af3"/>
    <w:uiPriority w:val="99"/>
    <w:semiHidden/>
    <w:rsid w:val="004A201F"/>
    <w:rPr>
      <w:b/>
      <w:bCs/>
    </w:rPr>
  </w:style>
  <w:style w:type="paragraph" w:styleId="af5">
    <w:name w:val="Revision"/>
    <w:hidden/>
    <w:uiPriority w:val="99"/>
    <w:semiHidden/>
    <w:rsid w:val="004A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7095">
      <w:bodyDiv w:val="1"/>
      <w:marLeft w:val="0"/>
      <w:marRight w:val="0"/>
      <w:marTop w:val="0"/>
      <w:marBottom w:val="0"/>
      <w:divBdr>
        <w:top w:val="none" w:sz="0" w:space="0" w:color="auto"/>
        <w:left w:val="none" w:sz="0" w:space="0" w:color="auto"/>
        <w:bottom w:val="none" w:sz="0" w:space="0" w:color="auto"/>
        <w:right w:val="none" w:sz="0" w:space="0" w:color="auto"/>
      </w:divBdr>
      <w:divsChild>
        <w:div w:id="916091536">
          <w:marLeft w:val="576"/>
          <w:marRight w:val="0"/>
          <w:marTop w:val="120"/>
          <w:marBottom w:val="0"/>
          <w:divBdr>
            <w:top w:val="none" w:sz="0" w:space="0" w:color="auto"/>
            <w:left w:val="none" w:sz="0" w:space="0" w:color="auto"/>
            <w:bottom w:val="none" w:sz="0" w:space="0" w:color="auto"/>
            <w:right w:val="none" w:sz="0" w:space="0" w:color="auto"/>
          </w:divBdr>
        </w:div>
        <w:div w:id="957874743">
          <w:marLeft w:val="576"/>
          <w:marRight w:val="0"/>
          <w:marTop w:val="120"/>
          <w:marBottom w:val="0"/>
          <w:divBdr>
            <w:top w:val="none" w:sz="0" w:space="0" w:color="auto"/>
            <w:left w:val="none" w:sz="0" w:space="0" w:color="auto"/>
            <w:bottom w:val="none" w:sz="0" w:space="0" w:color="auto"/>
            <w:right w:val="none" w:sz="0" w:space="0" w:color="auto"/>
          </w:divBdr>
        </w:div>
      </w:divsChild>
    </w:div>
    <w:div w:id="140268452">
      <w:bodyDiv w:val="1"/>
      <w:marLeft w:val="0"/>
      <w:marRight w:val="0"/>
      <w:marTop w:val="0"/>
      <w:marBottom w:val="0"/>
      <w:divBdr>
        <w:top w:val="none" w:sz="0" w:space="0" w:color="auto"/>
        <w:left w:val="none" w:sz="0" w:space="0" w:color="auto"/>
        <w:bottom w:val="none" w:sz="0" w:space="0" w:color="auto"/>
        <w:right w:val="none" w:sz="0" w:space="0" w:color="auto"/>
      </w:divBdr>
    </w:div>
    <w:div w:id="499660485">
      <w:bodyDiv w:val="1"/>
      <w:marLeft w:val="0"/>
      <w:marRight w:val="0"/>
      <w:marTop w:val="0"/>
      <w:marBottom w:val="0"/>
      <w:divBdr>
        <w:top w:val="none" w:sz="0" w:space="0" w:color="auto"/>
        <w:left w:val="none" w:sz="0" w:space="0" w:color="auto"/>
        <w:bottom w:val="none" w:sz="0" w:space="0" w:color="auto"/>
        <w:right w:val="none" w:sz="0" w:space="0" w:color="auto"/>
      </w:divBdr>
      <w:divsChild>
        <w:div w:id="814181498">
          <w:marLeft w:val="576"/>
          <w:marRight w:val="0"/>
          <w:marTop w:val="120"/>
          <w:marBottom w:val="0"/>
          <w:divBdr>
            <w:top w:val="none" w:sz="0" w:space="0" w:color="auto"/>
            <w:left w:val="none" w:sz="0" w:space="0" w:color="auto"/>
            <w:bottom w:val="none" w:sz="0" w:space="0" w:color="auto"/>
            <w:right w:val="none" w:sz="0" w:space="0" w:color="auto"/>
          </w:divBdr>
        </w:div>
      </w:divsChild>
    </w:div>
    <w:div w:id="689141579">
      <w:bodyDiv w:val="1"/>
      <w:marLeft w:val="0"/>
      <w:marRight w:val="0"/>
      <w:marTop w:val="0"/>
      <w:marBottom w:val="0"/>
      <w:divBdr>
        <w:top w:val="none" w:sz="0" w:space="0" w:color="auto"/>
        <w:left w:val="none" w:sz="0" w:space="0" w:color="auto"/>
        <w:bottom w:val="none" w:sz="0" w:space="0" w:color="auto"/>
        <w:right w:val="none" w:sz="0" w:space="0" w:color="auto"/>
      </w:divBdr>
    </w:div>
    <w:div w:id="888489759">
      <w:bodyDiv w:val="1"/>
      <w:marLeft w:val="0"/>
      <w:marRight w:val="0"/>
      <w:marTop w:val="0"/>
      <w:marBottom w:val="0"/>
      <w:divBdr>
        <w:top w:val="none" w:sz="0" w:space="0" w:color="auto"/>
        <w:left w:val="none" w:sz="0" w:space="0" w:color="auto"/>
        <w:bottom w:val="none" w:sz="0" w:space="0" w:color="auto"/>
        <w:right w:val="none" w:sz="0" w:space="0" w:color="auto"/>
      </w:divBdr>
    </w:div>
    <w:div w:id="997419577">
      <w:bodyDiv w:val="1"/>
      <w:marLeft w:val="0"/>
      <w:marRight w:val="0"/>
      <w:marTop w:val="0"/>
      <w:marBottom w:val="0"/>
      <w:divBdr>
        <w:top w:val="none" w:sz="0" w:space="0" w:color="auto"/>
        <w:left w:val="none" w:sz="0" w:space="0" w:color="auto"/>
        <w:bottom w:val="none" w:sz="0" w:space="0" w:color="auto"/>
        <w:right w:val="none" w:sz="0" w:space="0" w:color="auto"/>
      </w:divBdr>
    </w:div>
    <w:div w:id="1066950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852">
          <w:marLeft w:val="518"/>
          <w:marRight w:val="0"/>
          <w:marTop w:val="120"/>
          <w:marBottom w:val="0"/>
          <w:divBdr>
            <w:top w:val="none" w:sz="0" w:space="0" w:color="auto"/>
            <w:left w:val="none" w:sz="0" w:space="0" w:color="auto"/>
            <w:bottom w:val="none" w:sz="0" w:space="0" w:color="auto"/>
            <w:right w:val="none" w:sz="0" w:space="0" w:color="auto"/>
          </w:divBdr>
        </w:div>
      </w:divsChild>
    </w:div>
    <w:div w:id="1253468645">
      <w:bodyDiv w:val="1"/>
      <w:marLeft w:val="0"/>
      <w:marRight w:val="0"/>
      <w:marTop w:val="0"/>
      <w:marBottom w:val="0"/>
      <w:divBdr>
        <w:top w:val="none" w:sz="0" w:space="0" w:color="auto"/>
        <w:left w:val="none" w:sz="0" w:space="0" w:color="auto"/>
        <w:bottom w:val="none" w:sz="0" w:space="0" w:color="auto"/>
        <w:right w:val="none" w:sz="0" w:space="0" w:color="auto"/>
      </w:divBdr>
    </w:div>
    <w:div w:id="1270621291">
      <w:bodyDiv w:val="1"/>
      <w:marLeft w:val="0"/>
      <w:marRight w:val="0"/>
      <w:marTop w:val="0"/>
      <w:marBottom w:val="0"/>
      <w:divBdr>
        <w:top w:val="none" w:sz="0" w:space="0" w:color="auto"/>
        <w:left w:val="none" w:sz="0" w:space="0" w:color="auto"/>
        <w:bottom w:val="none" w:sz="0" w:space="0" w:color="auto"/>
        <w:right w:val="none" w:sz="0" w:space="0" w:color="auto"/>
      </w:divBdr>
      <w:divsChild>
        <w:div w:id="1853184859">
          <w:marLeft w:val="576"/>
          <w:marRight w:val="0"/>
          <w:marTop w:val="120"/>
          <w:marBottom w:val="0"/>
          <w:divBdr>
            <w:top w:val="none" w:sz="0" w:space="0" w:color="auto"/>
            <w:left w:val="none" w:sz="0" w:space="0" w:color="auto"/>
            <w:bottom w:val="none" w:sz="0" w:space="0" w:color="auto"/>
            <w:right w:val="none" w:sz="0" w:space="0" w:color="auto"/>
          </w:divBdr>
        </w:div>
      </w:divsChild>
    </w:div>
    <w:div w:id="1400635932">
      <w:bodyDiv w:val="1"/>
      <w:marLeft w:val="0"/>
      <w:marRight w:val="0"/>
      <w:marTop w:val="0"/>
      <w:marBottom w:val="0"/>
      <w:divBdr>
        <w:top w:val="none" w:sz="0" w:space="0" w:color="auto"/>
        <w:left w:val="none" w:sz="0" w:space="0" w:color="auto"/>
        <w:bottom w:val="none" w:sz="0" w:space="0" w:color="auto"/>
        <w:right w:val="none" w:sz="0" w:space="0" w:color="auto"/>
      </w:divBdr>
      <w:divsChild>
        <w:div w:id="892808267">
          <w:marLeft w:val="576"/>
          <w:marRight w:val="0"/>
          <w:marTop w:val="120"/>
          <w:marBottom w:val="0"/>
          <w:divBdr>
            <w:top w:val="none" w:sz="0" w:space="0" w:color="auto"/>
            <w:left w:val="none" w:sz="0" w:space="0" w:color="auto"/>
            <w:bottom w:val="none" w:sz="0" w:space="0" w:color="auto"/>
            <w:right w:val="none" w:sz="0" w:space="0" w:color="auto"/>
          </w:divBdr>
        </w:div>
      </w:divsChild>
    </w:div>
    <w:div w:id="1404134010">
      <w:bodyDiv w:val="1"/>
      <w:marLeft w:val="0"/>
      <w:marRight w:val="0"/>
      <w:marTop w:val="0"/>
      <w:marBottom w:val="0"/>
      <w:divBdr>
        <w:top w:val="none" w:sz="0" w:space="0" w:color="auto"/>
        <w:left w:val="none" w:sz="0" w:space="0" w:color="auto"/>
        <w:bottom w:val="none" w:sz="0" w:space="0" w:color="auto"/>
        <w:right w:val="none" w:sz="0" w:space="0" w:color="auto"/>
      </w:divBdr>
      <w:divsChild>
        <w:div w:id="329336128">
          <w:marLeft w:val="518"/>
          <w:marRight w:val="0"/>
          <w:marTop w:val="120"/>
          <w:marBottom w:val="0"/>
          <w:divBdr>
            <w:top w:val="none" w:sz="0" w:space="0" w:color="auto"/>
            <w:left w:val="none" w:sz="0" w:space="0" w:color="auto"/>
            <w:bottom w:val="none" w:sz="0" w:space="0" w:color="auto"/>
            <w:right w:val="none" w:sz="0" w:space="0" w:color="auto"/>
          </w:divBdr>
        </w:div>
      </w:divsChild>
    </w:div>
    <w:div w:id="1488279229">
      <w:bodyDiv w:val="1"/>
      <w:marLeft w:val="0"/>
      <w:marRight w:val="0"/>
      <w:marTop w:val="0"/>
      <w:marBottom w:val="0"/>
      <w:divBdr>
        <w:top w:val="none" w:sz="0" w:space="0" w:color="auto"/>
        <w:left w:val="none" w:sz="0" w:space="0" w:color="auto"/>
        <w:bottom w:val="none" w:sz="0" w:space="0" w:color="auto"/>
        <w:right w:val="none" w:sz="0" w:space="0" w:color="auto"/>
      </w:divBdr>
    </w:div>
    <w:div w:id="1663579078">
      <w:bodyDiv w:val="1"/>
      <w:marLeft w:val="0"/>
      <w:marRight w:val="0"/>
      <w:marTop w:val="0"/>
      <w:marBottom w:val="0"/>
      <w:divBdr>
        <w:top w:val="none" w:sz="0" w:space="0" w:color="auto"/>
        <w:left w:val="none" w:sz="0" w:space="0" w:color="auto"/>
        <w:bottom w:val="none" w:sz="0" w:space="0" w:color="auto"/>
        <w:right w:val="none" w:sz="0" w:space="0" w:color="auto"/>
      </w:divBdr>
    </w:div>
    <w:div w:id="1800371355">
      <w:bodyDiv w:val="1"/>
      <w:marLeft w:val="0"/>
      <w:marRight w:val="0"/>
      <w:marTop w:val="0"/>
      <w:marBottom w:val="0"/>
      <w:divBdr>
        <w:top w:val="none" w:sz="0" w:space="0" w:color="auto"/>
        <w:left w:val="none" w:sz="0" w:space="0" w:color="auto"/>
        <w:bottom w:val="none" w:sz="0" w:space="0" w:color="auto"/>
        <w:right w:val="none" w:sz="0" w:space="0" w:color="auto"/>
      </w:divBdr>
    </w:div>
    <w:div w:id="1860967215">
      <w:bodyDiv w:val="1"/>
      <w:marLeft w:val="0"/>
      <w:marRight w:val="0"/>
      <w:marTop w:val="0"/>
      <w:marBottom w:val="0"/>
      <w:divBdr>
        <w:top w:val="none" w:sz="0" w:space="0" w:color="auto"/>
        <w:left w:val="none" w:sz="0" w:space="0" w:color="auto"/>
        <w:bottom w:val="none" w:sz="0" w:space="0" w:color="auto"/>
        <w:right w:val="none" w:sz="0" w:space="0" w:color="auto"/>
      </w:divBdr>
      <w:divsChild>
        <w:div w:id="970136595">
          <w:marLeft w:val="576"/>
          <w:marRight w:val="0"/>
          <w:marTop w:val="120"/>
          <w:marBottom w:val="0"/>
          <w:divBdr>
            <w:top w:val="none" w:sz="0" w:space="0" w:color="auto"/>
            <w:left w:val="none" w:sz="0" w:space="0" w:color="auto"/>
            <w:bottom w:val="none" w:sz="0" w:space="0" w:color="auto"/>
            <w:right w:val="none" w:sz="0" w:space="0" w:color="auto"/>
          </w:divBdr>
        </w:div>
        <w:div w:id="606237220">
          <w:marLeft w:val="576"/>
          <w:marRight w:val="0"/>
          <w:marTop w:val="120"/>
          <w:marBottom w:val="0"/>
          <w:divBdr>
            <w:top w:val="none" w:sz="0" w:space="0" w:color="auto"/>
            <w:left w:val="none" w:sz="0" w:space="0" w:color="auto"/>
            <w:bottom w:val="none" w:sz="0" w:space="0" w:color="auto"/>
            <w:right w:val="none" w:sz="0" w:space="0" w:color="auto"/>
          </w:divBdr>
        </w:div>
      </w:divsChild>
    </w:div>
    <w:div w:id="21204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戒能一17</b:Tag>
    <b:SourceType>Report</b:SourceType>
    <b:Guid>{CE72C4AA-6815-4984-9875-DC69D1F08906}</b:Guid>
    <b:Author>
      <b:Author>
        <b:NameList>
          <b:Person>
            <b:Last>戒能一成</b:Last>
          </b:Person>
        </b:NameList>
      </b:Author>
    </b:Author>
    <b:Title> 『電気事業・都市ガス事業における政策制度変更の定量的影響分析』</b:Title>
    <b:Year>H17</b:Year>
    <b:RefOrder>1</b:RefOrder>
  </b:Source>
  <b:Source>
    <b:Tag>高橋嘉22</b:Tag>
    <b:SourceType>Report</b:SourceType>
    <b:Guid>{98A255B0-B101-4A6C-8391-F809681A12C3}</b:Guid>
    <b:Author>
      <b:Author>
        <b:NameList>
          <b:Person>
            <b:Last>高橋嘉津夫</b:Last>
          </b:Person>
        </b:NameList>
      </b:Author>
    </b:Author>
    <b:Title> 『ガス事業の現状と課題について』</b:Title>
    <b:Year>H22</b:Year>
    <b:Publisher>新潟県ガス協会 事務局</b:Publisher>
    <b:RefOrder>2</b:RefOrder>
  </b:Source>
</b:Sources>
</file>

<file path=customXml/itemProps1.xml><?xml version="1.0" encoding="utf-8"?>
<ds:datastoreItem xmlns:ds="http://schemas.openxmlformats.org/officeDocument/2006/customXml" ds:itemID="{2E5E98F0-6818-43A4-B02F-1C9865D2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1437</Words>
  <Characters>8193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Komori</dc:creator>
  <cp:lastModifiedBy>Komori</cp:lastModifiedBy>
  <cp:revision>39</cp:revision>
  <cp:lastPrinted>2014-09-21T12:00:00Z</cp:lastPrinted>
  <dcterms:created xsi:type="dcterms:W3CDTF">2014-09-21T11:52:00Z</dcterms:created>
  <dcterms:modified xsi:type="dcterms:W3CDTF">2014-09-21T13:26:00Z</dcterms:modified>
</cp:coreProperties>
</file>