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8F" w:rsidRDefault="000E5A8F" w:rsidP="000E5A8F">
      <w:pPr>
        <w:ind w:firstLineChars="200" w:firstLine="420"/>
      </w:pPr>
    </w:p>
    <w:p w:rsidR="000E5A8F" w:rsidRDefault="000E5A8F" w:rsidP="000E5A8F">
      <w:pPr>
        <w:ind w:firstLineChars="200" w:firstLine="420"/>
      </w:pPr>
    </w:p>
    <w:p w:rsidR="000E5A8F" w:rsidRDefault="000E5A8F" w:rsidP="000E5A8F">
      <w:pPr>
        <w:ind w:firstLineChars="200" w:firstLine="420"/>
      </w:pPr>
    </w:p>
    <w:p w:rsidR="000E5A8F" w:rsidRDefault="000E5A8F" w:rsidP="000E5A8F">
      <w:pPr>
        <w:ind w:firstLineChars="200" w:firstLine="420"/>
      </w:pPr>
    </w:p>
    <w:p w:rsidR="000E5A8F" w:rsidRDefault="000E5A8F" w:rsidP="000E5A8F">
      <w:pPr>
        <w:ind w:firstLineChars="200" w:firstLine="420"/>
      </w:pPr>
    </w:p>
    <w:p w:rsidR="000E5A8F" w:rsidRDefault="000E5A8F" w:rsidP="000E5A8F">
      <w:pPr>
        <w:ind w:firstLineChars="200" w:firstLine="420"/>
      </w:pPr>
    </w:p>
    <w:p w:rsidR="000E5A8F" w:rsidRDefault="000E5A8F" w:rsidP="000E5A8F">
      <w:pPr>
        <w:ind w:firstLineChars="200" w:firstLine="420"/>
      </w:pPr>
    </w:p>
    <w:p w:rsidR="000E5A8F" w:rsidRDefault="000E5A8F" w:rsidP="000E5A8F">
      <w:pPr>
        <w:ind w:firstLineChars="200" w:firstLine="420"/>
      </w:pPr>
    </w:p>
    <w:p w:rsidR="000E5A8F" w:rsidRDefault="000E5A8F" w:rsidP="000E5A8F">
      <w:pPr>
        <w:ind w:firstLineChars="200" w:firstLine="420"/>
      </w:pPr>
    </w:p>
    <w:p w:rsidR="000E5A8F" w:rsidRPr="008A71B4" w:rsidRDefault="000E5A8F" w:rsidP="000E5A8F">
      <w:pPr>
        <w:jc w:val="center"/>
        <w:rPr>
          <w:sz w:val="28"/>
          <w:szCs w:val="40"/>
        </w:rPr>
      </w:pPr>
      <w:r w:rsidRPr="008A71B4">
        <w:rPr>
          <w:rFonts w:hint="eastAsia"/>
          <w:sz w:val="28"/>
          <w:szCs w:val="40"/>
        </w:rPr>
        <w:t>平成</w:t>
      </w:r>
      <w:r w:rsidRPr="008A71B4">
        <w:rPr>
          <w:rFonts w:hint="eastAsia"/>
          <w:sz w:val="28"/>
          <w:szCs w:val="40"/>
        </w:rPr>
        <w:t>26</w:t>
      </w:r>
      <w:r w:rsidRPr="008A71B4">
        <w:rPr>
          <w:rFonts w:hint="eastAsia"/>
          <w:sz w:val="28"/>
          <w:szCs w:val="40"/>
        </w:rPr>
        <w:t>年度冬学期　事例研究（ミクロ経済政策）</w:t>
      </w:r>
    </w:p>
    <w:p w:rsidR="000E5A8F" w:rsidRPr="008A71B4" w:rsidRDefault="000E5A8F" w:rsidP="000E5A8F">
      <w:pPr>
        <w:jc w:val="center"/>
        <w:rPr>
          <w:sz w:val="28"/>
          <w:szCs w:val="40"/>
        </w:rPr>
      </w:pPr>
      <w:r w:rsidRPr="008A71B4">
        <w:rPr>
          <w:rFonts w:hint="eastAsia"/>
          <w:sz w:val="28"/>
          <w:szCs w:val="40"/>
        </w:rPr>
        <w:t>期末レポート</w:t>
      </w:r>
    </w:p>
    <w:p w:rsidR="000E5A8F" w:rsidRPr="008A71B4" w:rsidRDefault="000E5A8F" w:rsidP="000E5A8F">
      <w:pPr>
        <w:spacing w:line="480" w:lineRule="auto"/>
        <w:jc w:val="center"/>
        <w:rPr>
          <w:sz w:val="36"/>
          <w:szCs w:val="32"/>
        </w:rPr>
      </w:pPr>
      <w:r w:rsidRPr="008A71B4">
        <w:rPr>
          <w:rFonts w:hint="eastAsia"/>
          <w:sz w:val="36"/>
          <w:szCs w:val="32"/>
        </w:rPr>
        <w:t>「公営都市ガス事業民営化における成功要因の分析」</w:t>
      </w:r>
    </w:p>
    <w:p w:rsidR="000E5A8F" w:rsidRPr="00B45E1D" w:rsidRDefault="000E5A8F" w:rsidP="000E5A8F">
      <w:pPr>
        <w:jc w:val="center"/>
        <w:rPr>
          <w:sz w:val="32"/>
          <w:szCs w:val="32"/>
        </w:rPr>
      </w:pPr>
    </w:p>
    <w:p w:rsidR="000E5A8F" w:rsidRPr="008A71B4" w:rsidRDefault="000E5A8F" w:rsidP="000E5A8F">
      <w:pPr>
        <w:jc w:val="center"/>
        <w:rPr>
          <w:sz w:val="28"/>
          <w:szCs w:val="32"/>
        </w:rPr>
      </w:pPr>
      <w:r w:rsidRPr="008A71B4">
        <w:rPr>
          <w:rFonts w:hint="eastAsia"/>
          <w:sz w:val="28"/>
          <w:szCs w:val="32"/>
        </w:rPr>
        <w:t>東京大学公共政策大学院</w:t>
      </w:r>
    </w:p>
    <w:p w:rsidR="000E5A8F" w:rsidRPr="008A71B4" w:rsidRDefault="000E5A8F" w:rsidP="000E5A8F">
      <w:pPr>
        <w:jc w:val="center"/>
        <w:rPr>
          <w:sz w:val="28"/>
          <w:szCs w:val="32"/>
        </w:rPr>
      </w:pPr>
      <w:r w:rsidRPr="008A71B4">
        <w:rPr>
          <w:rFonts w:hint="eastAsia"/>
          <w:sz w:val="28"/>
          <w:szCs w:val="32"/>
        </w:rPr>
        <w:t>経済政策コース</w:t>
      </w:r>
      <w:r w:rsidRPr="008A71B4">
        <w:rPr>
          <w:rFonts w:hint="eastAsia"/>
          <w:sz w:val="28"/>
          <w:szCs w:val="32"/>
        </w:rPr>
        <w:t>2</w:t>
      </w:r>
      <w:r w:rsidRPr="008A71B4">
        <w:rPr>
          <w:rFonts w:hint="eastAsia"/>
          <w:sz w:val="28"/>
          <w:szCs w:val="32"/>
        </w:rPr>
        <w:t>年</w:t>
      </w:r>
    </w:p>
    <w:p w:rsidR="000E5A8F" w:rsidRPr="008A71B4" w:rsidRDefault="000E5A8F" w:rsidP="000E5A8F">
      <w:pPr>
        <w:jc w:val="center"/>
        <w:rPr>
          <w:sz w:val="28"/>
          <w:szCs w:val="32"/>
        </w:rPr>
      </w:pPr>
      <w:r w:rsidRPr="008A71B4">
        <w:rPr>
          <w:rFonts w:hint="eastAsia"/>
          <w:sz w:val="28"/>
          <w:szCs w:val="32"/>
        </w:rPr>
        <w:t>假屋</w:t>
      </w:r>
      <w:r w:rsidRPr="008A71B4">
        <w:rPr>
          <w:rFonts w:hint="eastAsia"/>
          <w:sz w:val="28"/>
          <w:szCs w:val="32"/>
        </w:rPr>
        <w:t xml:space="preserve"> </w:t>
      </w:r>
      <w:r w:rsidRPr="008A71B4">
        <w:rPr>
          <w:rFonts w:hint="eastAsia"/>
          <w:sz w:val="28"/>
          <w:szCs w:val="32"/>
        </w:rPr>
        <w:t>譲、小森</w:t>
      </w:r>
      <w:r w:rsidRPr="008A71B4">
        <w:rPr>
          <w:sz w:val="28"/>
          <w:szCs w:val="32"/>
        </w:rPr>
        <w:t xml:space="preserve"> </w:t>
      </w:r>
      <w:r w:rsidRPr="008A71B4">
        <w:rPr>
          <w:rFonts w:hint="eastAsia"/>
          <w:sz w:val="28"/>
          <w:szCs w:val="32"/>
        </w:rPr>
        <w:t>栞</w:t>
      </w:r>
    </w:p>
    <w:p w:rsidR="000E5A8F" w:rsidRPr="008A71B4" w:rsidRDefault="000E5A8F" w:rsidP="000E5A8F">
      <w:pPr>
        <w:rPr>
          <w:sz w:val="20"/>
        </w:rPr>
      </w:pPr>
    </w:p>
    <w:p w:rsidR="000E5A8F" w:rsidRPr="008A71B4" w:rsidRDefault="000E5A8F" w:rsidP="000E5A8F">
      <w:pPr>
        <w:rPr>
          <w:sz w:val="20"/>
        </w:rPr>
      </w:pPr>
      <w:r w:rsidRPr="008A71B4">
        <w:rPr>
          <w:sz w:val="20"/>
        </w:rPr>
        <w:br w:type="page"/>
      </w:r>
    </w:p>
    <w:p w:rsidR="000E5A8F" w:rsidRPr="008A71B4" w:rsidRDefault="000E5A8F" w:rsidP="000E5A8F">
      <w:pPr>
        <w:rPr>
          <w:sz w:val="24"/>
        </w:rPr>
      </w:pPr>
      <w:r w:rsidRPr="008A71B4">
        <w:rPr>
          <w:rFonts w:hint="eastAsia"/>
          <w:sz w:val="24"/>
        </w:rPr>
        <w:lastRenderedPageBreak/>
        <w:t>目次</w:t>
      </w:r>
    </w:p>
    <w:p w:rsidR="000E5A8F" w:rsidRDefault="000E5A8F" w:rsidP="000E5A8F"/>
    <w:p w:rsidR="000E5A8F" w:rsidRDefault="000E5A8F" w:rsidP="000E5A8F">
      <w:r>
        <w:t>Executive</w:t>
      </w:r>
      <w:r>
        <w:rPr>
          <w:rFonts w:hint="eastAsia"/>
        </w:rPr>
        <w:t xml:space="preserve"> Summary</w:t>
      </w:r>
    </w:p>
    <w:p w:rsidR="000E5A8F" w:rsidRDefault="000E5A8F" w:rsidP="000E5A8F">
      <w:r>
        <w:rPr>
          <w:rFonts w:hint="eastAsia"/>
        </w:rPr>
        <w:t>1</w:t>
      </w:r>
      <w:r>
        <w:rPr>
          <w:rFonts w:hint="eastAsia"/>
        </w:rPr>
        <w:t>章　問題意識</w:t>
      </w:r>
    </w:p>
    <w:p w:rsidR="000E5A8F" w:rsidRDefault="000E5A8F" w:rsidP="000E5A8F">
      <w:r>
        <w:rPr>
          <w:rFonts w:hint="eastAsia"/>
        </w:rPr>
        <w:t>2</w:t>
      </w:r>
      <w:r>
        <w:rPr>
          <w:rFonts w:hint="eastAsia"/>
        </w:rPr>
        <w:t>章</w:t>
      </w:r>
      <w:r>
        <w:rPr>
          <w:rFonts w:hint="eastAsia"/>
        </w:rPr>
        <w:t xml:space="preserve"> </w:t>
      </w:r>
      <w:r>
        <w:rPr>
          <w:rFonts w:hint="eastAsia"/>
        </w:rPr>
        <w:t>分析手法</w:t>
      </w:r>
    </w:p>
    <w:p w:rsidR="000E5A8F" w:rsidRDefault="000E5A8F" w:rsidP="000E5A8F">
      <w:r>
        <w:rPr>
          <w:rFonts w:hint="eastAsia"/>
        </w:rPr>
        <w:t xml:space="preserve">　</w:t>
      </w:r>
      <w:r>
        <w:rPr>
          <w:rFonts w:hint="eastAsia"/>
        </w:rPr>
        <w:t>2-1</w:t>
      </w:r>
      <w:r>
        <w:rPr>
          <w:rFonts w:hint="eastAsia"/>
        </w:rPr>
        <w:t xml:space="preserve">　分析の方向性</w:t>
      </w:r>
    </w:p>
    <w:p w:rsidR="000E5A8F" w:rsidRDefault="000E5A8F" w:rsidP="000E5A8F">
      <w:r>
        <w:rPr>
          <w:rFonts w:hint="eastAsia"/>
        </w:rPr>
        <w:t xml:space="preserve">　</w:t>
      </w:r>
      <w:r>
        <w:rPr>
          <w:rFonts w:hint="eastAsia"/>
        </w:rPr>
        <w:t xml:space="preserve">2-2  </w:t>
      </w:r>
      <w:r>
        <w:rPr>
          <w:rFonts w:hint="eastAsia"/>
        </w:rPr>
        <w:t>対象企業</w:t>
      </w:r>
    </w:p>
    <w:p w:rsidR="000E5A8F" w:rsidRDefault="000E5A8F" w:rsidP="000E5A8F">
      <w:r>
        <w:rPr>
          <w:rFonts w:hint="eastAsia"/>
        </w:rPr>
        <w:t xml:space="preserve">　</w:t>
      </w:r>
      <w:r>
        <w:rPr>
          <w:rFonts w:hint="eastAsia"/>
        </w:rPr>
        <w:t>2-3</w:t>
      </w:r>
      <w:r>
        <w:rPr>
          <w:rFonts w:hint="eastAsia"/>
        </w:rPr>
        <w:t xml:space="preserve">　使用データ</w:t>
      </w:r>
    </w:p>
    <w:p w:rsidR="000E5A8F" w:rsidRDefault="000E5A8F" w:rsidP="000E5A8F">
      <w:r>
        <w:rPr>
          <w:rFonts w:hint="eastAsia"/>
        </w:rPr>
        <w:t xml:space="preserve">　</w:t>
      </w:r>
      <w:r>
        <w:rPr>
          <w:rFonts w:hint="eastAsia"/>
        </w:rPr>
        <w:t>2-4</w:t>
      </w:r>
      <w:r>
        <w:rPr>
          <w:rFonts w:hint="eastAsia"/>
        </w:rPr>
        <w:t xml:space="preserve">　予察</w:t>
      </w:r>
    </w:p>
    <w:p w:rsidR="000E5A8F" w:rsidRDefault="000E5A8F" w:rsidP="000E5A8F">
      <w:r>
        <w:rPr>
          <w:rFonts w:hint="eastAsia"/>
        </w:rPr>
        <w:t>3</w:t>
      </w:r>
      <w:r>
        <w:rPr>
          <w:rFonts w:hint="eastAsia"/>
        </w:rPr>
        <w:t>章　分析結果</w:t>
      </w:r>
    </w:p>
    <w:p w:rsidR="000E5A8F" w:rsidRDefault="000E5A8F" w:rsidP="000E5A8F">
      <w:r>
        <w:rPr>
          <w:rFonts w:hint="eastAsia"/>
        </w:rPr>
        <w:t xml:space="preserve">　</w:t>
      </w:r>
      <w:r>
        <w:rPr>
          <w:rFonts w:hint="eastAsia"/>
        </w:rPr>
        <w:t>3-1</w:t>
      </w:r>
      <w:r>
        <w:rPr>
          <w:rFonts w:hint="eastAsia"/>
        </w:rPr>
        <w:t xml:space="preserve">　一人当たり販売量の変動要因</w:t>
      </w:r>
    </w:p>
    <w:p w:rsidR="000E5A8F" w:rsidRDefault="000E5A8F" w:rsidP="000E5A8F">
      <w:r>
        <w:rPr>
          <w:rFonts w:hint="eastAsia"/>
        </w:rPr>
        <w:t xml:space="preserve">  3-2</w:t>
      </w:r>
      <w:r>
        <w:rPr>
          <w:rFonts w:hint="eastAsia"/>
        </w:rPr>
        <w:t xml:space="preserve">　</w:t>
      </w:r>
      <w:r w:rsidRPr="00413724">
        <w:rPr>
          <w:rFonts w:hint="eastAsia"/>
        </w:rPr>
        <w:t>工業用シェアの変動要因</w:t>
      </w:r>
    </w:p>
    <w:p w:rsidR="000E5A8F" w:rsidRDefault="000E5A8F" w:rsidP="000E5A8F">
      <w:r>
        <w:rPr>
          <w:rFonts w:hint="eastAsia"/>
        </w:rPr>
        <w:t xml:space="preserve">  3-3</w:t>
      </w:r>
      <w:r>
        <w:rPr>
          <w:rFonts w:hint="eastAsia"/>
        </w:rPr>
        <w:t xml:space="preserve">　一人当たり営業費用の変動要因</w:t>
      </w:r>
    </w:p>
    <w:p w:rsidR="000E5A8F" w:rsidRDefault="000E5A8F" w:rsidP="000E5A8F">
      <w:r>
        <w:rPr>
          <w:rFonts w:hint="eastAsia"/>
        </w:rPr>
        <w:t>4</w:t>
      </w:r>
      <w:r>
        <w:rPr>
          <w:rFonts w:hint="eastAsia"/>
        </w:rPr>
        <w:t>章　考察</w:t>
      </w:r>
    </w:p>
    <w:p w:rsidR="00A41F25" w:rsidRDefault="00A41F25" w:rsidP="000E5A8F">
      <w:r>
        <w:rPr>
          <w:rFonts w:hint="eastAsia"/>
        </w:rPr>
        <w:t>5</w:t>
      </w:r>
      <w:r>
        <w:rPr>
          <w:rFonts w:hint="eastAsia"/>
        </w:rPr>
        <w:t>章　今後の課題</w:t>
      </w:r>
    </w:p>
    <w:p w:rsidR="000E5A8F" w:rsidRDefault="000E5A8F" w:rsidP="000E5A8F">
      <w:r>
        <w:rPr>
          <w:rFonts w:hint="eastAsia"/>
        </w:rPr>
        <w:t>謝辞</w:t>
      </w:r>
    </w:p>
    <w:p w:rsidR="000E5A8F" w:rsidRDefault="000E5A8F" w:rsidP="000E5A8F">
      <w:r>
        <w:rPr>
          <w:rFonts w:hint="eastAsia"/>
        </w:rPr>
        <w:t>参考文献</w:t>
      </w:r>
    </w:p>
    <w:p w:rsidR="000E5A8F" w:rsidRDefault="000E5A8F" w:rsidP="000E5A8F">
      <w:r>
        <w:br w:type="page"/>
      </w:r>
    </w:p>
    <w:p w:rsidR="000E5A8F" w:rsidRDefault="000E5A8F" w:rsidP="000E5A8F">
      <w:r>
        <w:lastRenderedPageBreak/>
        <w:t>Executive</w:t>
      </w:r>
      <w:r>
        <w:rPr>
          <w:rFonts w:hint="eastAsia"/>
        </w:rPr>
        <w:t xml:space="preserve"> Summary</w:t>
      </w:r>
    </w:p>
    <w:p w:rsidR="000E5A8F" w:rsidRDefault="000E5A8F" w:rsidP="000E5A8F"/>
    <w:p w:rsidR="000E5A8F" w:rsidRPr="00923347" w:rsidRDefault="000E5A8F" w:rsidP="000E5A8F">
      <w:pPr>
        <w:ind w:firstLineChars="100" w:firstLine="210"/>
      </w:pPr>
      <w:r>
        <w:rPr>
          <w:rFonts w:hint="eastAsia"/>
        </w:rPr>
        <w:t>近年、公営事業規制が課されている多くの規制産業の分野で、民営化が進んでいる。以前、</w:t>
      </w:r>
      <w:r w:rsidR="005F11E6">
        <w:rPr>
          <w:rFonts w:hint="eastAsia"/>
        </w:rPr>
        <w:t>都市</w:t>
      </w:r>
      <w:bookmarkStart w:id="0" w:name="_GoBack"/>
      <w:bookmarkEnd w:id="0"/>
      <w:r>
        <w:rPr>
          <w:rFonts w:hint="eastAsia"/>
        </w:rPr>
        <w:t>ガス事業者数では比較的公営企業が多かったが高カロリー化に伴う設備投資の増加などを理由とする赤字経営の懸念から、民営化が徐々に進行した。しかし民営・公営合わせた</w:t>
      </w:r>
      <w:r>
        <w:rPr>
          <w:rFonts w:hint="eastAsia"/>
        </w:rPr>
        <w:t>200</w:t>
      </w:r>
      <w:r>
        <w:rPr>
          <w:rFonts w:hint="eastAsia"/>
        </w:rPr>
        <w:t>社以上の多数の国内ガス事業者間には「内々価格差」と呼ばれる事業規模や製造コストの大きな格差が存在しており、今後、民営化が進むことで経営効率化によって内々価格差も解消されることが期待される。</w:t>
      </w:r>
    </w:p>
    <w:p w:rsidR="000E5A8F" w:rsidRPr="00923347" w:rsidRDefault="000E5A8F" w:rsidP="000E5A8F">
      <w:pPr>
        <w:ind w:firstLineChars="100" w:firstLine="210"/>
      </w:pPr>
      <w:r>
        <w:rPr>
          <w:rFonts w:hint="eastAsia"/>
        </w:rPr>
        <w:t>そこで本論文では先学期に引き続き、今まで民営化した都市ガス事業者の事例を用いて、それらの事例が本当に民営化による経営効率化に成功しているのか、あるいはその成功要因は何かを明らかにする。そのために資源エネルギー庁『ガス事業年報』と各企業の有価証券報告書の経営データを用いて、パネルデータ分析を行った。</w:t>
      </w:r>
    </w:p>
    <w:p w:rsidR="000E5A8F" w:rsidRPr="00CF2C53" w:rsidRDefault="000E5A8F" w:rsidP="000E5A8F">
      <w:pPr>
        <w:ind w:firstLineChars="100" w:firstLine="210"/>
      </w:pPr>
      <w:r>
        <w:rPr>
          <w:rFonts w:hint="eastAsia"/>
        </w:rPr>
        <w:t>その結果、先学期と同様、民営化は</w:t>
      </w:r>
      <w:r w:rsidRPr="0062585D">
        <w:rPr>
          <w:rFonts w:hint="eastAsia"/>
        </w:rPr>
        <w:t>直接的には経営効率化に有意な影響を与えない</w:t>
      </w:r>
      <w:r>
        <w:rPr>
          <w:rFonts w:hint="eastAsia"/>
        </w:rPr>
        <w:t>という結論を得た。そして、民営化の成功要因は営業努力によって大口販売のシェアを伸ばすことであることが分かった。つまり都市ガス事業の民営化は、ただ民営化するだけでは販売量が伸びずに失敗する可能性があり、例えば大口営業のノウハウを持つ大規模事業者に事業譲渡して民営化する、あるいは民営化後に公営当時の供給地域で営業努力をして大口顧客を獲得することで成功の可能性を高められると考える。</w:t>
      </w:r>
    </w:p>
    <w:p w:rsidR="000E5A8F" w:rsidRDefault="000E5A8F" w:rsidP="000E5A8F">
      <w:r>
        <w:br w:type="page"/>
      </w:r>
    </w:p>
    <w:p w:rsidR="000E5A8F" w:rsidRPr="008A214B" w:rsidRDefault="000E5A8F" w:rsidP="000E5A8F">
      <w:pPr>
        <w:rPr>
          <w:sz w:val="24"/>
        </w:rPr>
      </w:pPr>
      <w:r w:rsidRPr="008A214B">
        <w:rPr>
          <w:rFonts w:hint="eastAsia"/>
          <w:sz w:val="24"/>
        </w:rPr>
        <w:lastRenderedPageBreak/>
        <w:t>1</w:t>
      </w:r>
      <w:r w:rsidRPr="008A214B">
        <w:rPr>
          <w:rFonts w:hint="eastAsia"/>
          <w:sz w:val="24"/>
        </w:rPr>
        <w:t>章　問題意識</w:t>
      </w:r>
    </w:p>
    <w:p w:rsidR="000E5A8F" w:rsidRPr="00D8618A" w:rsidRDefault="000E5A8F" w:rsidP="000E5A8F">
      <w:pPr>
        <w:ind w:firstLineChars="100" w:firstLine="210"/>
        <w:rPr>
          <w:szCs w:val="21"/>
        </w:rPr>
      </w:pPr>
    </w:p>
    <w:p w:rsidR="000E5A8F" w:rsidRDefault="000E5A8F" w:rsidP="000E5A8F">
      <w:pPr>
        <w:ind w:firstLineChars="100" w:firstLine="210"/>
        <w:rPr>
          <w:szCs w:val="21"/>
        </w:rPr>
      </w:pPr>
      <w:r w:rsidRPr="00D8618A">
        <w:rPr>
          <w:rFonts w:hint="eastAsia"/>
          <w:szCs w:val="21"/>
        </w:rPr>
        <w:t>近年、都市ガス事業も含む規制産業に対して、規制緩和や公営企業の民営化が進んでいる。</w:t>
      </w:r>
      <w:r>
        <w:rPr>
          <w:rFonts w:hint="eastAsia"/>
          <w:szCs w:val="21"/>
        </w:rPr>
        <w:t>社会的に大きな話題を呼んだ郵政民営化もその</w:t>
      </w:r>
      <w:r>
        <w:rPr>
          <w:rFonts w:hint="eastAsia"/>
          <w:szCs w:val="21"/>
        </w:rPr>
        <w:t>1</w:t>
      </w:r>
      <w:r>
        <w:rPr>
          <w:rFonts w:hint="eastAsia"/>
          <w:szCs w:val="21"/>
        </w:rPr>
        <w:t>つである。</w:t>
      </w:r>
      <w:r w:rsidRPr="00D8618A">
        <w:rPr>
          <w:rFonts w:hint="eastAsia"/>
          <w:szCs w:val="21"/>
        </w:rPr>
        <w:t>各種産業の民営化は、経済学的な観点からは市場メカニズムの導入によるサービスの質の向上や</w:t>
      </w:r>
      <w:r>
        <w:rPr>
          <w:rFonts w:hint="eastAsia"/>
          <w:szCs w:val="21"/>
        </w:rPr>
        <w:t>経営効率化といった大きなメリットを有している</w:t>
      </w:r>
      <w:r w:rsidRPr="00D8618A">
        <w:rPr>
          <w:rFonts w:hint="eastAsia"/>
          <w:szCs w:val="21"/>
        </w:rPr>
        <w:t>。さらに政治的な観点からは、官僚主義の脱却による組織の効率化というメリットも挙げられるだろう。一方、デメリットとして、経営合理化の結果、過疎地域の切り捨てといった公的サービスの提供の縮小の可能性がある。</w:t>
      </w:r>
    </w:p>
    <w:p w:rsidR="000E5A8F" w:rsidRPr="00D8618A" w:rsidRDefault="000E5A8F" w:rsidP="000E5A8F">
      <w:pPr>
        <w:ind w:firstLineChars="100" w:firstLine="210"/>
        <w:rPr>
          <w:szCs w:val="21"/>
        </w:rPr>
      </w:pPr>
    </w:p>
    <w:p w:rsidR="000E5A8F" w:rsidRDefault="000E5A8F" w:rsidP="000E5A8F">
      <w:pPr>
        <w:ind w:firstLineChars="100" w:firstLine="210"/>
        <w:rPr>
          <w:szCs w:val="21"/>
        </w:rPr>
      </w:pPr>
      <w:r w:rsidRPr="00D8618A">
        <w:rPr>
          <w:rFonts w:hint="eastAsia"/>
          <w:szCs w:val="21"/>
        </w:rPr>
        <w:t>今回取り上げるガス事業も以前から民営化が進んで</w:t>
      </w:r>
      <w:r>
        <w:rPr>
          <w:rFonts w:hint="eastAsia"/>
          <w:szCs w:val="21"/>
        </w:rPr>
        <w:t>おり、同様のエネルギー事業である電力と比較すると、</w:t>
      </w:r>
      <w:r w:rsidRPr="00D8618A">
        <w:rPr>
          <w:rFonts w:hint="eastAsia"/>
          <w:szCs w:val="21"/>
        </w:rPr>
        <w:t>事業者数が多い</w:t>
      </w:r>
      <w:r>
        <w:rPr>
          <w:rFonts w:hint="eastAsia"/>
          <w:szCs w:val="21"/>
        </w:rPr>
        <w:t>という特徴がある</w:t>
      </w:r>
      <w:r w:rsidRPr="00D8618A">
        <w:rPr>
          <w:rFonts w:hint="eastAsia"/>
          <w:szCs w:val="21"/>
        </w:rPr>
        <w:t>。事業者数は平成</w:t>
      </w:r>
      <w:r w:rsidRPr="00D8618A">
        <w:rPr>
          <w:rFonts w:hint="eastAsia"/>
          <w:szCs w:val="21"/>
        </w:rPr>
        <w:t>24</w:t>
      </w:r>
      <w:r w:rsidRPr="00D8618A">
        <w:rPr>
          <w:rFonts w:hint="eastAsia"/>
          <w:szCs w:val="21"/>
        </w:rPr>
        <w:t>年</w:t>
      </w:r>
      <w:r>
        <w:rPr>
          <w:rFonts w:hint="eastAsia"/>
          <w:szCs w:val="21"/>
        </w:rPr>
        <w:t>現在で</w:t>
      </w:r>
      <w:r w:rsidRPr="00D8618A">
        <w:rPr>
          <w:rFonts w:hint="eastAsia"/>
          <w:szCs w:val="21"/>
        </w:rPr>
        <w:t>、</w:t>
      </w:r>
      <w:r w:rsidRPr="00D8618A">
        <w:rPr>
          <w:szCs w:val="21"/>
        </w:rPr>
        <w:t>電気事業</w:t>
      </w:r>
      <w:r w:rsidRPr="00D8618A">
        <w:rPr>
          <w:rFonts w:hint="eastAsia"/>
          <w:szCs w:val="21"/>
        </w:rPr>
        <w:t>が</w:t>
      </w:r>
      <w:r w:rsidRPr="00D8618A">
        <w:rPr>
          <w:szCs w:val="21"/>
        </w:rPr>
        <w:t>計</w:t>
      </w:r>
      <w:r w:rsidRPr="00D8618A">
        <w:rPr>
          <w:rFonts w:hint="eastAsia"/>
          <w:szCs w:val="21"/>
        </w:rPr>
        <w:t>10</w:t>
      </w:r>
      <w:r w:rsidRPr="00D8618A">
        <w:rPr>
          <w:szCs w:val="21"/>
        </w:rPr>
        <w:t>社</w:t>
      </w:r>
      <w:r w:rsidRPr="00D8618A">
        <w:rPr>
          <w:rFonts w:hint="eastAsia"/>
          <w:szCs w:val="21"/>
        </w:rPr>
        <w:t>であるのに対し、一般</w:t>
      </w:r>
      <w:r w:rsidRPr="00D8618A">
        <w:rPr>
          <w:szCs w:val="21"/>
        </w:rPr>
        <w:t>ガス事業</w:t>
      </w:r>
      <w:r w:rsidRPr="00D8618A">
        <w:rPr>
          <w:rFonts w:hint="eastAsia"/>
          <w:szCs w:val="21"/>
        </w:rPr>
        <w:t>は</w:t>
      </w:r>
      <w:r w:rsidRPr="00D8618A">
        <w:rPr>
          <w:szCs w:val="21"/>
        </w:rPr>
        <w:t>計</w:t>
      </w:r>
      <w:r w:rsidRPr="00D8618A">
        <w:rPr>
          <w:rFonts w:hint="eastAsia"/>
          <w:szCs w:val="21"/>
        </w:rPr>
        <w:t>209</w:t>
      </w:r>
      <w:r w:rsidRPr="00D8618A">
        <w:rPr>
          <w:szCs w:val="21"/>
        </w:rPr>
        <w:t>社（内公営事業</w:t>
      </w:r>
      <w:r w:rsidRPr="00D8618A">
        <w:rPr>
          <w:rFonts w:hint="eastAsia"/>
          <w:szCs w:val="21"/>
        </w:rPr>
        <w:t>29</w:t>
      </w:r>
      <w:r w:rsidRPr="00D8618A">
        <w:rPr>
          <w:szCs w:val="21"/>
        </w:rPr>
        <w:t>社）</w:t>
      </w:r>
      <w:r>
        <w:rPr>
          <w:rFonts w:hint="eastAsia"/>
          <w:szCs w:val="21"/>
        </w:rPr>
        <w:t>にのぼる</w:t>
      </w:r>
      <w:r w:rsidRPr="00D8618A">
        <w:rPr>
          <w:rFonts w:hint="eastAsia"/>
          <w:szCs w:val="21"/>
        </w:rPr>
        <w:t>。</w:t>
      </w:r>
      <w:r w:rsidRPr="00D8618A">
        <w:rPr>
          <w:rStyle w:val="a7"/>
          <w:szCs w:val="21"/>
        </w:rPr>
        <w:footnoteReference w:id="1"/>
      </w:r>
      <w:r>
        <w:rPr>
          <w:rFonts w:hint="eastAsia"/>
          <w:szCs w:val="21"/>
        </w:rPr>
        <w:t>その変遷としては、</w:t>
      </w:r>
      <w:r w:rsidRPr="00D8618A">
        <w:rPr>
          <w:rFonts w:hint="eastAsia"/>
          <w:szCs w:val="21"/>
        </w:rPr>
        <w:t>昭和</w:t>
      </w:r>
      <w:r w:rsidRPr="00D8618A">
        <w:rPr>
          <w:rFonts w:hint="eastAsia"/>
          <w:szCs w:val="21"/>
        </w:rPr>
        <w:t>30</w:t>
      </w:r>
      <w:r w:rsidRPr="00D8618A">
        <w:rPr>
          <w:rFonts w:hint="eastAsia"/>
          <w:szCs w:val="21"/>
        </w:rPr>
        <w:t>年代中頃から国産天然ガスの開発が進むにつれ、公営ガス事業数は急速に増加し、昭和</w:t>
      </w:r>
      <w:r w:rsidRPr="00D8618A">
        <w:rPr>
          <w:rFonts w:hint="eastAsia"/>
          <w:szCs w:val="21"/>
        </w:rPr>
        <w:t>50</w:t>
      </w:r>
      <w:r w:rsidRPr="00D8618A">
        <w:rPr>
          <w:rFonts w:hint="eastAsia"/>
          <w:szCs w:val="21"/>
        </w:rPr>
        <w:t>年から</w:t>
      </w:r>
      <w:r w:rsidRPr="00D8618A">
        <w:rPr>
          <w:rFonts w:hint="eastAsia"/>
          <w:szCs w:val="21"/>
        </w:rPr>
        <w:t>52</w:t>
      </w:r>
      <w:r w:rsidRPr="00D8618A">
        <w:rPr>
          <w:rFonts w:hint="eastAsia"/>
          <w:szCs w:val="21"/>
        </w:rPr>
        <w:t>年のピーク時には</w:t>
      </w:r>
      <w:r w:rsidRPr="00D8618A">
        <w:rPr>
          <w:rFonts w:hint="eastAsia"/>
          <w:szCs w:val="21"/>
        </w:rPr>
        <w:t>75</w:t>
      </w:r>
      <w:r w:rsidRPr="00D8618A">
        <w:rPr>
          <w:rFonts w:hint="eastAsia"/>
          <w:szCs w:val="21"/>
        </w:rPr>
        <w:t>事業となった。</w:t>
      </w:r>
      <w:r>
        <w:rPr>
          <w:rFonts w:hint="eastAsia"/>
          <w:szCs w:val="21"/>
        </w:rPr>
        <w:t>しかし</w:t>
      </w:r>
      <w:r w:rsidRPr="00D8618A">
        <w:rPr>
          <w:rFonts w:hint="eastAsia"/>
          <w:szCs w:val="21"/>
        </w:rPr>
        <w:t>近年は、将来必要となる設備投資が多額であることなどを理由とする民間譲渡や、市町</w:t>
      </w:r>
      <w:r>
        <w:rPr>
          <w:rFonts w:hint="eastAsia"/>
          <w:szCs w:val="21"/>
        </w:rPr>
        <w:t>村合併に伴う公営ガス事業者の統合により、民間事業者が増えている</w:t>
      </w:r>
      <w:r w:rsidRPr="00D8618A">
        <w:rPr>
          <w:rFonts w:hint="eastAsia"/>
          <w:szCs w:val="21"/>
        </w:rPr>
        <w:t>。</w:t>
      </w:r>
      <w:r w:rsidRPr="00D8618A">
        <w:rPr>
          <w:rStyle w:val="a7"/>
          <w:szCs w:val="21"/>
        </w:rPr>
        <w:footnoteReference w:id="2"/>
      </w:r>
      <w:r w:rsidRPr="00D8618A">
        <w:rPr>
          <w:rFonts w:hint="eastAsia"/>
          <w:szCs w:val="21"/>
        </w:rPr>
        <w:t xml:space="preserve"> </w:t>
      </w:r>
      <w:r>
        <w:rPr>
          <w:rFonts w:hint="eastAsia"/>
          <w:szCs w:val="21"/>
        </w:rPr>
        <w:t>ここで戒能</w:t>
      </w:r>
      <w:r>
        <w:rPr>
          <w:rFonts w:hint="eastAsia"/>
          <w:szCs w:val="21"/>
        </w:rPr>
        <w:t>(2007)</w:t>
      </w:r>
      <w:r>
        <w:rPr>
          <w:rFonts w:hint="eastAsia"/>
          <w:szCs w:val="21"/>
        </w:rPr>
        <w:t>も指摘している通り、公営・民間含めた多数のガス事業者の間には事業規模や製造コストに大きなばらつきがあるため、現状では国内ガス事業者間に「内々価格差」が発生している。今後さらに民営化が進めば、効率的な企業が市場に存続し、内々価格差も縮小されるだろう。そのためには、今まで民営化した都市ガス事業者が民営化によって経営効率化を本当に達成出来ているのか、あるいは都市ガス事業民営化の成功要因は何であるかを検証すべきである。我々の調べでは、日本国内の都市ガス事業の民営化の効果を定量的に把握した先行研究は見当たらず、この点で本論文は意義を有すると考える。</w:t>
      </w:r>
    </w:p>
    <w:p w:rsidR="000E5A8F" w:rsidRPr="000454DD" w:rsidRDefault="000E5A8F" w:rsidP="000E5A8F">
      <w:pPr>
        <w:ind w:firstLineChars="100" w:firstLine="210"/>
        <w:rPr>
          <w:szCs w:val="21"/>
        </w:rPr>
      </w:pPr>
    </w:p>
    <w:p w:rsidR="000E5A8F" w:rsidRPr="00673065" w:rsidRDefault="000E5A8F" w:rsidP="000E5A8F">
      <w:r>
        <w:rPr>
          <w:rFonts w:hint="eastAsia"/>
        </w:rPr>
        <w:t xml:space="preserve">　このような問題意識を踏まえ、公営ガス事業民営化の成功要因を明らかにするため、我々は先学期の予察に引き続き分析を進めた。まず</w:t>
      </w:r>
      <w:r>
        <w:rPr>
          <w:rFonts w:hint="eastAsia"/>
        </w:rPr>
        <w:t>2</w:t>
      </w:r>
      <w:r>
        <w:rPr>
          <w:rFonts w:hint="eastAsia"/>
        </w:rPr>
        <w:t>章では先学期からの分析の流れを述べた後、分析対象企業と使用データの概要を示し、各変数の関係をプロットして視覚的に確認した。</w:t>
      </w:r>
      <w:r>
        <w:rPr>
          <w:rFonts w:hint="eastAsia"/>
        </w:rPr>
        <w:t>3</w:t>
      </w:r>
      <w:r>
        <w:rPr>
          <w:rFonts w:hint="eastAsia"/>
        </w:rPr>
        <w:t>章ではガス販売量から出発して、民営化の成功要因を回帰分析で明らかにした。最後に</w:t>
      </w:r>
      <w:r>
        <w:rPr>
          <w:rFonts w:hint="eastAsia"/>
        </w:rPr>
        <w:t>4</w:t>
      </w:r>
      <w:r>
        <w:rPr>
          <w:rFonts w:hint="eastAsia"/>
        </w:rPr>
        <w:t>章で考察を述べ、先学期からの分析結果を取りまとめた。</w:t>
      </w:r>
    </w:p>
    <w:p w:rsidR="000E5A8F" w:rsidRDefault="000E5A8F" w:rsidP="000E5A8F">
      <w:pPr>
        <w:rPr>
          <w:sz w:val="24"/>
        </w:rPr>
      </w:pPr>
    </w:p>
    <w:p w:rsidR="000E5A8F" w:rsidRDefault="000E5A8F" w:rsidP="000E5A8F">
      <w:pPr>
        <w:rPr>
          <w:sz w:val="24"/>
        </w:rPr>
      </w:pPr>
      <w:r>
        <w:rPr>
          <w:sz w:val="24"/>
        </w:rPr>
        <w:br w:type="page"/>
      </w:r>
    </w:p>
    <w:p w:rsidR="000E5A8F" w:rsidRPr="008A214B" w:rsidRDefault="000E5A8F" w:rsidP="000E5A8F">
      <w:pPr>
        <w:rPr>
          <w:sz w:val="24"/>
        </w:rPr>
      </w:pPr>
      <w:r w:rsidRPr="008A214B">
        <w:rPr>
          <w:rFonts w:hint="eastAsia"/>
          <w:sz w:val="24"/>
        </w:rPr>
        <w:lastRenderedPageBreak/>
        <w:t>2</w:t>
      </w:r>
      <w:r w:rsidRPr="008A214B">
        <w:rPr>
          <w:rFonts w:hint="eastAsia"/>
          <w:sz w:val="24"/>
        </w:rPr>
        <w:t>章</w:t>
      </w:r>
      <w:r w:rsidRPr="008A214B">
        <w:rPr>
          <w:rFonts w:hint="eastAsia"/>
          <w:sz w:val="24"/>
        </w:rPr>
        <w:t xml:space="preserve"> </w:t>
      </w:r>
      <w:r w:rsidRPr="008A214B">
        <w:rPr>
          <w:rFonts w:hint="eastAsia"/>
          <w:sz w:val="24"/>
        </w:rPr>
        <w:t>分析手法</w:t>
      </w:r>
    </w:p>
    <w:p w:rsidR="000E5A8F" w:rsidRPr="008A214B" w:rsidRDefault="000E5A8F" w:rsidP="000E5A8F">
      <w:pPr>
        <w:rPr>
          <w:sz w:val="24"/>
        </w:rPr>
      </w:pPr>
      <w:r w:rsidRPr="008A214B">
        <w:rPr>
          <w:rFonts w:hint="eastAsia"/>
          <w:sz w:val="24"/>
        </w:rPr>
        <w:t>2-1</w:t>
      </w:r>
      <w:r w:rsidRPr="008A214B">
        <w:rPr>
          <w:rFonts w:hint="eastAsia"/>
          <w:sz w:val="24"/>
        </w:rPr>
        <w:t xml:space="preserve">　分析の方向性</w:t>
      </w:r>
    </w:p>
    <w:p w:rsidR="000E5A8F" w:rsidRDefault="000E5A8F" w:rsidP="000E5A8F">
      <w:r>
        <w:rPr>
          <w:rFonts w:hint="eastAsia"/>
        </w:rPr>
        <w:t xml:space="preserve">　本論文は前期に我々が行った予察に引き続き、定量分析によってガス事業民営化の効果を明らかにする。ここで前期は、</w:t>
      </w:r>
      <w:r w:rsidRPr="00623828">
        <w:rPr>
          <w:rFonts w:hint="eastAsia"/>
        </w:rPr>
        <w:t>民営化によるガス事業者の経営効率化を測るため、</w:t>
      </w:r>
      <w:r>
        <w:rPr>
          <w:rFonts w:hint="eastAsia"/>
        </w:rPr>
        <w:t>まず始めに民営化したガス事業者群と公営のガス事業者群の</w:t>
      </w:r>
      <w:r>
        <w:rPr>
          <w:rFonts w:hint="eastAsia"/>
        </w:rPr>
        <w:t>2</w:t>
      </w:r>
      <w:r>
        <w:rPr>
          <w:rFonts w:hint="eastAsia"/>
        </w:rPr>
        <w:t>グループ間で、</w:t>
      </w:r>
      <w:r w:rsidRPr="00623828">
        <w:rPr>
          <w:rFonts w:hint="eastAsia"/>
        </w:rPr>
        <w:t>ガス販売量単位あたりの営業費用と経常利益の変化を観察した。その結果、民営化は単位あたり費用の低減には寄与するものの、経常利益の向上には貢献しない可能性が示唆された。続いて</w:t>
      </w:r>
      <w:r>
        <w:t>Difference</w:t>
      </w:r>
      <w:r>
        <w:rPr>
          <w:rFonts w:hint="eastAsia"/>
        </w:rPr>
        <w:t xml:space="preserve"> In Difference(DID)</w:t>
      </w:r>
      <w:r w:rsidRPr="00623828">
        <w:rPr>
          <w:rFonts w:hint="eastAsia"/>
        </w:rPr>
        <w:t>の手法を用いて</w:t>
      </w:r>
      <w:r>
        <w:rPr>
          <w:rFonts w:hint="eastAsia"/>
        </w:rPr>
        <w:t>、平成</w:t>
      </w:r>
      <w:r>
        <w:rPr>
          <w:rFonts w:hint="eastAsia"/>
        </w:rPr>
        <w:t>11</w:t>
      </w:r>
      <w:r>
        <w:rPr>
          <w:rFonts w:hint="eastAsia"/>
        </w:rPr>
        <w:t>年度と平成</w:t>
      </w:r>
      <w:r>
        <w:rPr>
          <w:rFonts w:hint="eastAsia"/>
        </w:rPr>
        <w:t>24</w:t>
      </w:r>
      <w:r>
        <w:rPr>
          <w:rFonts w:hint="eastAsia"/>
        </w:rPr>
        <w:t>年度の</w:t>
      </w:r>
      <w:r>
        <w:rPr>
          <w:rFonts w:hint="eastAsia"/>
        </w:rPr>
        <w:t>2</w:t>
      </w:r>
      <w:r>
        <w:rPr>
          <w:rFonts w:hint="eastAsia"/>
        </w:rPr>
        <w:t>時点間で</w:t>
      </w:r>
      <w:r w:rsidRPr="00623828">
        <w:rPr>
          <w:rFonts w:hint="eastAsia"/>
        </w:rPr>
        <w:t>民営化ダミーが費用と利益に与える影響の分析を試みた。しかし分析結果は仮説と異なり、費用も利益も民営化ダミーは有意でなく、民営化は事業効率化に直接的には影響を与えないことが分かった。</w:t>
      </w:r>
      <w:r>
        <w:rPr>
          <w:rFonts w:hint="eastAsia"/>
        </w:rPr>
        <w:t>そしてこれらの結果より、民営化は</w:t>
      </w:r>
      <w:r w:rsidRPr="0062585D">
        <w:rPr>
          <w:rFonts w:hint="eastAsia"/>
        </w:rPr>
        <w:t>直接的には経営効率化に有意な影響を与えない</w:t>
      </w:r>
      <w:r>
        <w:rPr>
          <w:rFonts w:hint="eastAsia"/>
        </w:rPr>
        <w:t>ことが明らかになった。このことから我々はガス事業の成功要因には民営化以外の要因があると考え、パネルデータを用いた時系列分析で成功要因を明らかにした。</w:t>
      </w:r>
    </w:p>
    <w:p w:rsidR="000E5A8F" w:rsidRPr="00623828" w:rsidRDefault="000E5A8F" w:rsidP="000E5A8F"/>
    <w:p w:rsidR="000E5A8F" w:rsidRPr="008A214B" w:rsidRDefault="000E5A8F" w:rsidP="000E5A8F">
      <w:pPr>
        <w:rPr>
          <w:sz w:val="24"/>
        </w:rPr>
      </w:pPr>
      <w:r w:rsidRPr="008A214B">
        <w:rPr>
          <w:rFonts w:hint="eastAsia"/>
          <w:sz w:val="24"/>
        </w:rPr>
        <w:t xml:space="preserve">2-2  </w:t>
      </w:r>
      <w:r w:rsidRPr="008A214B">
        <w:rPr>
          <w:rFonts w:hint="eastAsia"/>
          <w:sz w:val="24"/>
        </w:rPr>
        <w:t>対象企業</w:t>
      </w:r>
    </w:p>
    <w:p w:rsidR="000E5A8F" w:rsidRDefault="000E5A8F" w:rsidP="000E5A8F">
      <w:pPr>
        <w:ind w:firstLineChars="100" w:firstLine="210"/>
      </w:pPr>
      <w:r>
        <w:rPr>
          <w:rFonts w:hint="eastAsia"/>
        </w:rPr>
        <w:t>本論文では近年のガス事業民営化の効果を測定するため、民営化したガス事業者のうち平成</w:t>
      </w:r>
      <w:r>
        <w:rPr>
          <w:rFonts w:hint="eastAsia"/>
        </w:rPr>
        <w:t>10</w:t>
      </w:r>
      <w:r>
        <w:rPr>
          <w:rFonts w:hint="eastAsia"/>
        </w:rPr>
        <w:t>年以降に民営化した元公営都市ガス事業者を対象とした。その中で、東京ガス・大阪ガス・東邦ガスなどの都道府県を超えた広域に都市ガスを供給する巨大都市ガス事業者に吸収された結果、該当事業者の財務状況を観察することが困難となった、鴻巣市ガス水道部、天理市ガス水道局、松山市公営企業局、桑名市ガス・水道部、藤岡市・新町ガス企業団の計</w:t>
      </w:r>
      <w:r>
        <w:rPr>
          <w:rFonts w:hint="eastAsia"/>
        </w:rPr>
        <w:t>5</w:t>
      </w:r>
      <w:r>
        <w:rPr>
          <w:rFonts w:hint="eastAsia"/>
        </w:rPr>
        <w:t>社は除外した。その結果、次項の図</w:t>
      </w:r>
      <w:r>
        <w:rPr>
          <w:rFonts w:hint="eastAsia"/>
        </w:rPr>
        <w:t>1</w:t>
      </w:r>
      <w:r>
        <w:rPr>
          <w:rFonts w:hint="eastAsia"/>
        </w:rPr>
        <w:t>に示す計</w:t>
      </w:r>
      <w:r>
        <w:rPr>
          <w:rFonts w:hint="eastAsia"/>
        </w:rPr>
        <w:t>17</w:t>
      </w:r>
      <w:r>
        <w:rPr>
          <w:rFonts w:hint="eastAsia"/>
        </w:rPr>
        <w:t>社を分析対象にした。なお図</w:t>
      </w:r>
      <w:r>
        <w:rPr>
          <w:rFonts w:hint="eastAsia"/>
        </w:rPr>
        <w:t>1</w:t>
      </w:r>
      <w:r>
        <w:rPr>
          <w:rFonts w:hint="eastAsia"/>
        </w:rPr>
        <w:t>において、括弧内は民営化年度を示し、民営化した市町村と民営化後の企業名を併記している。</w:t>
      </w:r>
    </w:p>
    <w:p w:rsidR="000E5A8F" w:rsidRPr="000E6A76" w:rsidRDefault="000E5A8F" w:rsidP="000E5A8F"/>
    <w:p w:rsidR="000E5A8F" w:rsidRPr="008A214B" w:rsidRDefault="000E5A8F" w:rsidP="000E5A8F">
      <w:pPr>
        <w:rPr>
          <w:sz w:val="24"/>
        </w:rPr>
      </w:pPr>
      <w:r w:rsidRPr="008A214B">
        <w:rPr>
          <w:rFonts w:hint="eastAsia"/>
          <w:sz w:val="24"/>
        </w:rPr>
        <w:t>2-3</w:t>
      </w:r>
      <w:r w:rsidRPr="008A214B">
        <w:rPr>
          <w:rFonts w:hint="eastAsia"/>
          <w:sz w:val="24"/>
        </w:rPr>
        <w:t xml:space="preserve">　使用データ</w:t>
      </w:r>
    </w:p>
    <w:p w:rsidR="000E5A8F" w:rsidRPr="00E84139" w:rsidRDefault="000E5A8F" w:rsidP="000E5A8F">
      <w:r>
        <w:rPr>
          <w:rFonts w:hint="eastAsia"/>
        </w:rPr>
        <w:t xml:space="preserve">　まず、対象期間は平成</w:t>
      </w:r>
      <w:r>
        <w:rPr>
          <w:rFonts w:hint="eastAsia"/>
        </w:rPr>
        <w:t>10</w:t>
      </w:r>
      <w:r>
        <w:rPr>
          <w:rFonts w:hint="eastAsia"/>
        </w:rPr>
        <w:t>年から</w:t>
      </w:r>
      <w:r>
        <w:rPr>
          <w:rFonts w:hint="eastAsia"/>
        </w:rPr>
        <w:t>24</w:t>
      </w:r>
      <w:r>
        <w:rPr>
          <w:rFonts w:hint="eastAsia"/>
        </w:rPr>
        <w:t>年と設定した。そして公営事業者のデータは「ガス事業年報」記載の営業データ及び供給データを使用し、民営事業者のデータは各事業者の有価証券報告書を参照した。なお金銭値データは物価変動の影響を除くため、内閣府発表の</w:t>
      </w:r>
      <w:r>
        <w:rPr>
          <w:rFonts w:hint="eastAsia"/>
        </w:rPr>
        <w:t>GDP</w:t>
      </w:r>
      <w:r w:rsidRPr="00015750">
        <w:rPr>
          <w:rFonts w:hint="eastAsia"/>
        </w:rPr>
        <w:t>デフレータに基づき実質化を行った。</w:t>
      </w:r>
    </w:p>
    <w:p w:rsidR="000E5A8F" w:rsidRDefault="000E5A8F" w:rsidP="000E5A8F">
      <w:pPr>
        <w:jc w:val="center"/>
      </w:pPr>
      <w:r>
        <w:rPr>
          <w:rFonts w:hint="eastAsia"/>
          <w:noProof/>
        </w:rPr>
        <w:lastRenderedPageBreak/>
        <w:drawing>
          <wp:inline distT="0" distB="0" distL="0" distR="0" wp14:anchorId="15142A68" wp14:editId="41AB8C75">
            <wp:extent cx="5364359" cy="5610225"/>
            <wp:effectExtent l="19050" t="19050" r="2730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 コピー.bmp"/>
                    <pic:cNvPicPr/>
                  </pic:nvPicPr>
                  <pic:blipFill>
                    <a:blip r:embed="rId6">
                      <a:extLst>
                        <a:ext uri="{28A0092B-C50C-407E-A947-70E740481C1C}">
                          <a14:useLocalDpi xmlns:a14="http://schemas.microsoft.com/office/drawing/2010/main" val="0"/>
                        </a:ext>
                      </a:extLst>
                    </a:blip>
                    <a:stretch>
                      <a:fillRect/>
                    </a:stretch>
                  </pic:blipFill>
                  <pic:spPr>
                    <a:xfrm>
                      <a:off x="0" y="0"/>
                      <a:ext cx="5364359" cy="5610225"/>
                    </a:xfrm>
                    <a:prstGeom prst="rect">
                      <a:avLst/>
                    </a:prstGeom>
                    <a:ln>
                      <a:solidFill>
                        <a:schemeClr val="tx1"/>
                      </a:solidFill>
                    </a:ln>
                  </pic:spPr>
                </pic:pic>
              </a:graphicData>
            </a:graphic>
          </wp:inline>
        </w:drawing>
      </w:r>
    </w:p>
    <w:p w:rsidR="000E5A8F" w:rsidRDefault="000E5A8F" w:rsidP="000E5A8F">
      <w:pPr>
        <w:jc w:val="center"/>
      </w:pPr>
      <w:r>
        <w:rPr>
          <w:rFonts w:hint="eastAsia"/>
        </w:rPr>
        <w:t>図</w:t>
      </w:r>
      <w:r>
        <w:rPr>
          <w:rFonts w:hint="eastAsia"/>
        </w:rPr>
        <w:t xml:space="preserve">1 </w:t>
      </w:r>
      <w:r>
        <w:rPr>
          <w:rFonts w:hint="eastAsia"/>
        </w:rPr>
        <w:t>分析対象企業一覧</w:t>
      </w:r>
      <w:r>
        <w:rPr>
          <w:rFonts w:hint="eastAsia"/>
        </w:rPr>
        <w:t>(</w:t>
      </w:r>
      <w:r>
        <w:rPr>
          <w:rFonts w:hint="eastAsia"/>
        </w:rPr>
        <w:t>筆者作成</w:t>
      </w:r>
      <w:r>
        <w:rPr>
          <w:rFonts w:hint="eastAsia"/>
        </w:rPr>
        <w:t>)</w:t>
      </w:r>
    </w:p>
    <w:p w:rsidR="000E5A8F" w:rsidRDefault="000E5A8F" w:rsidP="000E5A8F"/>
    <w:p w:rsidR="000E5A8F" w:rsidRDefault="000E5A8F" w:rsidP="000E5A8F">
      <w:r w:rsidRPr="008A214B">
        <w:rPr>
          <w:rFonts w:hint="eastAsia"/>
          <w:sz w:val="24"/>
        </w:rPr>
        <w:t>2-4</w:t>
      </w:r>
      <w:r w:rsidRPr="008A214B">
        <w:rPr>
          <w:rFonts w:hint="eastAsia"/>
          <w:sz w:val="24"/>
        </w:rPr>
        <w:t xml:space="preserve">　予察</w:t>
      </w:r>
    </w:p>
    <w:p w:rsidR="000E5A8F" w:rsidRPr="00662B88" w:rsidRDefault="000E5A8F" w:rsidP="000E5A8F">
      <w:r>
        <w:rPr>
          <w:rFonts w:hint="eastAsia"/>
        </w:rPr>
        <w:t xml:space="preserve">　分析にあたり、我々はまず前期の分析で考察した経常利益に再度着目した。そして対象企業</w:t>
      </w:r>
      <w:r>
        <w:rPr>
          <w:rFonts w:hint="eastAsia"/>
        </w:rPr>
        <w:t>17</w:t>
      </w:r>
      <w:r>
        <w:rPr>
          <w:rFonts w:hint="eastAsia"/>
        </w:rPr>
        <w:t>社の平成</w:t>
      </w:r>
      <w:r>
        <w:rPr>
          <w:rFonts w:hint="eastAsia"/>
        </w:rPr>
        <w:t>10</w:t>
      </w:r>
      <w:r>
        <w:rPr>
          <w:rFonts w:hint="eastAsia"/>
        </w:rPr>
        <w:t>年から</w:t>
      </w:r>
      <w:r>
        <w:rPr>
          <w:rFonts w:hint="eastAsia"/>
        </w:rPr>
        <w:t>24</w:t>
      </w:r>
      <w:r>
        <w:rPr>
          <w:rFonts w:hint="eastAsia"/>
        </w:rPr>
        <w:t>年までの経常利益と従業員一人当たりのガス販売量をプロットした。図</w:t>
      </w:r>
      <w:r>
        <w:rPr>
          <w:rFonts w:hint="eastAsia"/>
        </w:rPr>
        <w:t>2</w:t>
      </w:r>
      <w:r>
        <w:rPr>
          <w:rFonts w:hint="eastAsia"/>
        </w:rPr>
        <w:t>はその結果を示しており、この図からは強い正の相関は見られない。そこで経常利益に含まれる利益のうち、都市ガス販売ではなく、附帯事業による利益の影響を除くと図</w:t>
      </w:r>
      <w:r>
        <w:rPr>
          <w:rFonts w:hint="eastAsia"/>
        </w:rPr>
        <w:t>3</w:t>
      </w:r>
      <w:r>
        <w:rPr>
          <w:rFonts w:hint="eastAsia"/>
        </w:rPr>
        <w:t>を得た。ここで</w:t>
      </w:r>
      <w:r w:rsidRPr="009A7B0C">
        <w:rPr>
          <w:rFonts w:hint="eastAsia"/>
        </w:rPr>
        <w:t>修正後</w:t>
      </w:r>
      <w:r>
        <w:rPr>
          <w:rFonts w:hint="eastAsia"/>
        </w:rPr>
        <w:t>の</w:t>
      </w:r>
      <w:r w:rsidRPr="009A7B0C">
        <w:rPr>
          <w:rFonts w:hint="eastAsia"/>
        </w:rPr>
        <w:t>経常利益</w:t>
      </w:r>
      <w:r>
        <w:rPr>
          <w:rFonts w:hint="eastAsia"/>
        </w:rPr>
        <w:t>は、</w:t>
      </w:r>
      <w:r w:rsidRPr="009A7B0C">
        <w:rPr>
          <w:rFonts w:hint="eastAsia"/>
        </w:rPr>
        <w:t>経常利益×（収益計‐付帯事業収益）</w:t>
      </w:r>
      <w:r>
        <w:rPr>
          <w:rFonts w:hint="eastAsia"/>
        </w:rPr>
        <w:t>÷</w:t>
      </w:r>
      <w:r w:rsidRPr="009A7B0C">
        <w:rPr>
          <w:rFonts w:hint="eastAsia"/>
        </w:rPr>
        <w:t>収益計</w:t>
      </w:r>
      <w:r>
        <w:rPr>
          <w:rFonts w:hint="eastAsia"/>
        </w:rPr>
        <w:t>によって求めた。図</w:t>
      </w:r>
      <w:r>
        <w:rPr>
          <w:rFonts w:hint="eastAsia"/>
        </w:rPr>
        <w:t>3</w:t>
      </w:r>
      <w:r>
        <w:rPr>
          <w:rFonts w:hint="eastAsia"/>
        </w:rPr>
        <w:t>は、点が右上に向かって</w:t>
      </w:r>
      <w:r>
        <w:rPr>
          <w:rFonts w:hint="eastAsia"/>
        </w:rPr>
        <w:t>V</w:t>
      </w:r>
      <w:r>
        <w:rPr>
          <w:rFonts w:hint="eastAsia"/>
        </w:rPr>
        <w:t>字型に散らばっており、視覚的に正の相関が確認できる。なお</w:t>
      </w:r>
      <w:r>
        <w:rPr>
          <w:rFonts w:hint="eastAsia"/>
        </w:rPr>
        <w:t>V</w:t>
      </w:r>
      <w:r>
        <w:rPr>
          <w:rFonts w:hint="eastAsia"/>
        </w:rPr>
        <w:t>字型になる理由は、対象企業の規模にバラつきがあり、一人当たり販売量増加に伴う経常利益の伸び率が高いグループと低いグループに分かれているからで</w:t>
      </w:r>
      <w:r>
        <w:rPr>
          <w:rFonts w:hint="eastAsia"/>
        </w:rPr>
        <w:lastRenderedPageBreak/>
        <w:t>あると考える。特に経常利益の伸び率は販売量と比較して、事業者が設定する価格の影響を受けやすい。このことから民営化による影響を正確に計測するためには、経常利益ではなく、経常利益と正の相関を持つことが確認できた一人当たり販売量に主眼を置くことが望ましいと考え、回帰分析では一人当たり販売量を被説明変数に用いた。</w:t>
      </w:r>
    </w:p>
    <w:p w:rsidR="000E5A8F" w:rsidRPr="00490008" w:rsidRDefault="000E5A8F" w:rsidP="000E5A8F">
      <w:pPr>
        <w:jc w:val="center"/>
      </w:pPr>
      <w:r>
        <w:rPr>
          <w:noProof/>
        </w:rPr>
        <w:drawing>
          <wp:inline distT="0" distB="0" distL="0" distR="0" wp14:anchorId="6D383294" wp14:editId="1FF93BF2">
            <wp:extent cx="3989432" cy="33804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4976" cy="3393598"/>
                    </a:xfrm>
                    <a:prstGeom prst="rect">
                      <a:avLst/>
                    </a:prstGeom>
                    <a:noFill/>
                    <a:ln>
                      <a:noFill/>
                    </a:ln>
                  </pic:spPr>
                </pic:pic>
              </a:graphicData>
            </a:graphic>
          </wp:inline>
        </w:drawing>
      </w:r>
    </w:p>
    <w:p w:rsidR="000E5A8F" w:rsidRDefault="000E5A8F" w:rsidP="000E5A8F">
      <w:pPr>
        <w:jc w:val="center"/>
      </w:pPr>
      <w:r>
        <w:rPr>
          <w:rFonts w:hint="eastAsia"/>
        </w:rPr>
        <w:t>図</w:t>
      </w:r>
      <w:r>
        <w:rPr>
          <w:rFonts w:hint="eastAsia"/>
        </w:rPr>
        <w:t xml:space="preserve">2 </w:t>
      </w:r>
      <w:r>
        <w:rPr>
          <w:rFonts w:hint="eastAsia"/>
        </w:rPr>
        <w:t>経常利益と従業員一人当たり販売量</w:t>
      </w:r>
      <w:r>
        <w:rPr>
          <w:rFonts w:hint="eastAsia"/>
        </w:rPr>
        <w:t>(</w:t>
      </w:r>
      <w:r>
        <w:rPr>
          <w:rFonts w:hint="eastAsia"/>
        </w:rPr>
        <w:t>修正前</w:t>
      </w:r>
      <w:r>
        <w:rPr>
          <w:rFonts w:hint="eastAsia"/>
        </w:rPr>
        <w:t>)</w:t>
      </w:r>
    </w:p>
    <w:p w:rsidR="000E5A8F" w:rsidRPr="00662B88" w:rsidRDefault="000E5A8F" w:rsidP="000E5A8F">
      <w:pPr>
        <w:jc w:val="center"/>
      </w:pPr>
      <w:r>
        <w:rPr>
          <w:noProof/>
        </w:rPr>
        <w:drawing>
          <wp:inline distT="0" distB="0" distL="0" distR="0" wp14:anchorId="377D8736" wp14:editId="65B8E35A">
            <wp:extent cx="4010025" cy="3426897"/>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1980" cy="3437114"/>
                    </a:xfrm>
                    <a:prstGeom prst="rect">
                      <a:avLst/>
                    </a:prstGeom>
                    <a:noFill/>
                    <a:ln>
                      <a:noFill/>
                    </a:ln>
                  </pic:spPr>
                </pic:pic>
              </a:graphicData>
            </a:graphic>
          </wp:inline>
        </w:drawing>
      </w:r>
    </w:p>
    <w:p w:rsidR="000E5A8F" w:rsidRPr="002B6B20" w:rsidRDefault="000E5A8F" w:rsidP="000E5A8F">
      <w:pPr>
        <w:jc w:val="center"/>
      </w:pPr>
      <w:r>
        <w:rPr>
          <w:rFonts w:hint="eastAsia"/>
        </w:rPr>
        <w:t>図</w:t>
      </w:r>
      <w:r>
        <w:rPr>
          <w:rFonts w:hint="eastAsia"/>
        </w:rPr>
        <w:t xml:space="preserve">3 </w:t>
      </w:r>
      <w:r>
        <w:rPr>
          <w:rFonts w:hint="eastAsia"/>
        </w:rPr>
        <w:t>経常利益と従業員一人当たり販売量</w:t>
      </w:r>
      <w:r>
        <w:rPr>
          <w:rFonts w:hint="eastAsia"/>
        </w:rPr>
        <w:t>(</w:t>
      </w:r>
      <w:r>
        <w:rPr>
          <w:rFonts w:hint="eastAsia"/>
        </w:rPr>
        <w:t>修正後</w:t>
      </w:r>
      <w:r>
        <w:rPr>
          <w:rFonts w:hint="eastAsia"/>
        </w:rPr>
        <w:t>)</w:t>
      </w:r>
    </w:p>
    <w:p w:rsidR="000E5A8F" w:rsidRDefault="000E5A8F" w:rsidP="000E5A8F">
      <w:r>
        <w:rPr>
          <w:rFonts w:hint="eastAsia"/>
        </w:rPr>
        <w:lastRenderedPageBreak/>
        <w:t xml:space="preserve">　続いて民営化の成功要因を明らかにするために、本論文では民営化によって成功を収めた「成功事例」を定義した。今回、「成功事例」とは民営化後の一人当たり販売量の伸び率が公営大手</w:t>
      </w:r>
      <w:r>
        <w:rPr>
          <w:rFonts w:hint="eastAsia"/>
        </w:rPr>
        <w:t>4</w:t>
      </w:r>
      <w:r>
        <w:rPr>
          <w:rFonts w:hint="eastAsia"/>
        </w:rPr>
        <w:t>社</w:t>
      </w:r>
      <w:r>
        <w:rPr>
          <w:rFonts w:hint="eastAsia"/>
        </w:rPr>
        <w:t>(</w:t>
      </w:r>
      <w:r>
        <w:rPr>
          <w:rFonts w:hint="eastAsia"/>
        </w:rPr>
        <w:t>仙台・習志野・金沢・大津</w:t>
      </w:r>
      <w:r>
        <w:rPr>
          <w:rFonts w:hint="eastAsia"/>
        </w:rPr>
        <w:t>)</w:t>
      </w:r>
      <w:r>
        <w:rPr>
          <w:rFonts w:hint="eastAsia"/>
        </w:rPr>
        <w:t>の平均と、民営大手</w:t>
      </w:r>
      <w:r>
        <w:rPr>
          <w:rFonts w:hint="eastAsia"/>
        </w:rPr>
        <w:t>4</w:t>
      </w:r>
      <w:r>
        <w:rPr>
          <w:rFonts w:hint="eastAsia"/>
        </w:rPr>
        <w:t>社</w:t>
      </w:r>
      <w:r>
        <w:rPr>
          <w:rFonts w:hint="eastAsia"/>
        </w:rPr>
        <w:t>(</w:t>
      </w:r>
      <w:r>
        <w:rPr>
          <w:rFonts w:hint="eastAsia"/>
        </w:rPr>
        <w:t>東京ガス、大阪ガス、東邦ガス、西部ガス</w:t>
      </w:r>
      <w:r>
        <w:rPr>
          <w:rFonts w:hint="eastAsia"/>
        </w:rPr>
        <w:t>)</w:t>
      </w:r>
      <w:r>
        <w:rPr>
          <w:rFonts w:hint="eastAsia"/>
        </w:rPr>
        <w:t>の平均を上回る企業とした。そして平均値を求める際に、外的要因による急激な変化の影響を抑えるため、</w:t>
      </w:r>
      <w:r>
        <w:rPr>
          <w:rFonts w:hint="eastAsia"/>
        </w:rPr>
        <w:t>3</w:t>
      </w:r>
      <w:r>
        <w:rPr>
          <w:rFonts w:hint="eastAsia"/>
        </w:rPr>
        <w:t>年間の平均を取る移動平均法を用いた。この結果、成功事例は秋田、西脇、中津、小須戸の</w:t>
      </w:r>
      <w:r>
        <w:rPr>
          <w:rFonts w:hint="eastAsia"/>
        </w:rPr>
        <w:t>4</w:t>
      </w:r>
      <w:r>
        <w:rPr>
          <w:rFonts w:hint="eastAsia"/>
        </w:rPr>
        <w:t>市町村に絞られた。</w:t>
      </w:r>
    </w:p>
    <w:p w:rsidR="000E5A8F" w:rsidRDefault="000E5A8F" w:rsidP="000E5A8F"/>
    <w:p w:rsidR="000E5A8F" w:rsidRDefault="000E5A8F" w:rsidP="000E5A8F">
      <w:r>
        <w:rPr>
          <w:rFonts w:hint="eastAsia"/>
        </w:rPr>
        <w:t xml:space="preserve">　さらに一人当たり販売量に影響を与える要因として、前期に用いた民営化ダミーに加えて、営業費用と大口顧客への営業が挙げられると考え、これらと一人当たり販売量をプロットした。なお営業費用はエネルギー価格の乱高下や、ガス販売による費用と異なる附帯事業の費用の影響を取り除くため、営業費用総計から売上原価と附帯事業費用を除き、従業員一人当たりで換算した。また大口営業は工業用以外にも、公共サービス用等も考えられるため、家庭用・商業用に含まれないその他のガス販売量も含み、工業用・その他ガス販売量と一括りにした。そして、それらが総販売量に占める割合</w:t>
      </w:r>
      <w:r>
        <w:rPr>
          <w:rFonts w:hint="eastAsia"/>
        </w:rPr>
        <w:t>(</w:t>
      </w:r>
      <w:r>
        <w:rPr>
          <w:rFonts w:hint="eastAsia"/>
        </w:rPr>
        <w:t>以後、工業用シェアとする</w:t>
      </w:r>
      <w:r>
        <w:rPr>
          <w:rFonts w:hint="eastAsia"/>
        </w:rPr>
        <w:t>)</w:t>
      </w:r>
      <w:r>
        <w:rPr>
          <w:rFonts w:hint="eastAsia"/>
        </w:rPr>
        <w:t>を計算し、工業用シェアと一人当たり販売量の関係を分析した。図</w:t>
      </w:r>
      <w:r>
        <w:rPr>
          <w:rFonts w:hint="eastAsia"/>
        </w:rPr>
        <w:t>4</w:t>
      </w:r>
      <w:r>
        <w:rPr>
          <w:rFonts w:hint="eastAsia"/>
        </w:rPr>
        <w:t>と図</w:t>
      </w:r>
      <w:r>
        <w:rPr>
          <w:rFonts w:hint="eastAsia"/>
        </w:rPr>
        <w:t>5</w:t>
      </w:r>
      <w:r>
        <w:rPr>
          <w:rFonts w:hint="eastAsia"/>
        </w:rPr>
        <w:t>はその結果を表しており、一人当たり営業費用と一人当たり販売量、そして工業用シェアと一人当たり販売量の間に正の相関があることが確認出来る。</w:t>
      </w:r>
    </w:p>
    <w:p w:rsidR="000E5A8F" w:rsidRPr="00DD57E2" w:rsidRDefault="000E5A8F" w:rsidP="000E5A8F">
      <w:pPr>
        <w:jc w:val="center"/>
      </w:pPr>
      <w:r>
        <w:rPr>
          <w:noProof/>
        </w:rPr>
        <w:drawing>
          <wp:inline distT="0" distB="0" distL="0" distR="0" wp14:anchorId="00F6F181" wp14:editId="1C9B945E">
            <wp:extent cx="4070803" cy="3780724"/>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3445" cy="3783177"/>
                    </a:xfrm>
                    <a:prstGeom prst="rect">
                      <a:avLst/>
                    </a:prstGeom>
                    <a:noFill/>
                    <a:ln>
                      <a:noFill/>
                    </a:ln>
                  </pic:spPr>
                </pic:pic>
              </a:graphicData>
            </a:graphic>
          </wp:inline>
        </w:drawing>
      </w:r>
    </w:p>
    <w:p w:rsidR="000E5A8F" w:rsidRDefault="000E5A8F" w:rsidP="000E5A8F">
      <w:pPr>
        <w:jc w:val="center"/>
      </w:pPr>
      <w:r>
        <w:rPr>
          <w:rFonts w:hint="eastAsia"/>
        </w:rPr>
        <w:t>図</w:t>
      </w:r>
      <w:r>
        <w:rPr>
          <w:rFonts w:hint="eastAsia"/>
        </w:rPr>
        <w:t xml:space="preserve">4 </w:t>
      </w:r>
      <w:r w:rsidRPr="00CF177D">
        <w:rPr>
          <w:rFonts w:hint="eastAsia"/>
        </w:rPr>
        <w:t>一人当たり営業費用</w:t>
      </w:r>
      <w:r>
        <w:rPr>
          <w:rFonts w:hint="eastAsia"/>
        </w:rPr>
        <w:t>と一人当たりガス販売量</w:t>
      </w:r>
    </w:p>
    <w:p w:rsidR="000E5A8F" w:rsidRDefault="000E5A8F" w:rsidP="000E5A8F">
      <w:pPr>
        <w:jc w:val="center"/>
      </w:pPr>
      <w:r>
        <w:rPr>
          <w:noProof/>
        </w:rPr>
        <w:lastRenderedPageBreak/>
        <w:drawing>
          <wp:inline distT="0" distB="0" distL="0" distR="0" wp14:anchorId="17979DF6" wp14:editId="2E93B41B">
            <wp:extent cx="3933825" cy="3560282"/>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657" cy="3558320"/>
                    </a:xfrm>
                    <a:prstGeom prst="rect">
                      <a:avLst/>
                    </a:prstGeom>
                    <a:noFill/>
                    <a:ln>
                      <a:noFill/>
                    </a:ln>
                  </pic:spPr>
                </pic:pic>
              </a:graphicData>
            </a:graphic>
          </wp:inline>
        </w:drawing>
      </w:r>
    </w:p>
    <w:p w:rsidR="000E5A8F" w:rsidRDefault="000E5A8F" w:rsidP="000E5A8F">
      <w:pPr>
        <w:jc w:val="center"/>
      </w:pPr>
      <w:r>
        <w:rPr>
          <w:rFonts w:hint="eastAsia"/>
        </w:rPr>
        <w:t>図</w:t>
      </w:r>
      <w:r>
        <w:rPr>
          <w:rFonts w:hint="eastAsia"/>
        </w:rPr>
        <w:t>5</w:t>
      </w:r>
      <w:r>
        <w:rPr>
          <w:rFonts w:hint="eastAsia"/>
        </w:rPr>
        <w:t>工業用シェアと</w:t>
      </w:r>
      <w:r w:rsidRPr="00CF177D">
        <w:rPr>
          <w:rFonts w:hint="eastAsia"/>
        </w:rPr>
        <w:t>一人当たりガス販売量</w:t>
      </w:r>
    </w:p>
    <w:p w:rsidR="000E5A8F" w:rsidRPr="0007042C" w:rsidRDefault="000E5A8F" w:rsidP="000E5A8F"/>
    <w:p w:rsidR="000E5A8F" w:rsidRPr="008A214B" w:rsidRDefault="000E5A8F" w:rsidP="000E5A8F">
      <w:pPr>
        <w:rPr>
          <w:sz w:val="24"/>
        </w:rPr>
      </w:pPr>
      <w:r w:rsidRPr="008A214B">
        <w:rPr>
          <w:rFonts w:hint="eastAsia"/>
          <w:sz w:val="24"/>
        </w:rPr>
        <w:t>3</w:t>
      </w:r>
      <w:r w:rsidRPr="008A214B">
        <w:rPr>
          <w:rFonts w:hint="eastAsia"/>
          <w:sz w:val="24"/>
        </w:rPr>
        <w:t>章　分析結果</w:t>
      </w:r>
    </w:p>
    <w:p w:rsidR="000E5A8F" w:rsidRPr="008A214B" w:rsidRDefault="000E5A8F" w:rsidP="000E5A8F">
      <w:pPr>
        <w:rPr>
          <w:sz w:val="24"/>
        </w:rPr>
      </w:pPr>
      <w:r w:rsidRPr="008A214B">
        <w:rPr>
          <w:rFonts w:hint="eastAsia"/>
          <w:sz w:val="24"/>
        </w:rPr>
        <w:t>3-1</w:t>
      </w:r>
      <w:r w:rsidRPr="008A214B">
        <w:rPr>
          <w:rFonts w:hint="eastAsia"/>
          <w:sz w:val="24"/>
        </w:rPr>
        <w:t xml:space="preserve">　一人当たり販売量の変動要因</w:t>
      </w:r>
    </w:p>
    <w:p w:rsidR="000E5A8F" w:rsidRDefault="000E5A8F" w:rsidP="000E5A8F">
      <w:r>
        <w:rPr>
          <w:rFonts w:hint="eastAsia"/>
        </w:rPr>
        <w:t xml:space="preserve">　平成</w:t>
      </w:r>
      <w:r>
        <w:rPr>
          <w:rFonts w:hint="eastAsia"/>
        </w:rPr>
        <w:t>10</w:t>
      </w:r>
      <w:r>
        <w:rPr>
          <w:rFonts w:hint="eastAsia"/>
        </w:rPr>
        <w:t>年から</w:t>
      </w:r>
      <w:r>
        <w:rPr>
          <w:rFonts w:hint="eastAsia"/>
        </w:rPr>
        <w:t>24</w:t>
      </w:r>
      <w:r>
        <w:rPr>
          <w:rFonts w:hint="eastAsia"/>
        </w:rPr>
        <w:t>年のパネルデータを用いた</w:t>
      </w:r>
      <w:r>
        <w:rPr>
          <w:rFonts w:hint="eastAsia"/>
        </w:rPr>
        <w:t>2</w:t>
      </w:r>
      <w:r>
        <w:rPr>
          <w:rFonts w:hint="eastAsia"/>
        </w:rPr>
        <w:t>章の予察より、被説明変数として一人当たり販売量を置き、説明変数として工業用シェアと一人当たり営業費用を置いて回帰分析を行った。そして</w:t>
      </w:r>
      <w:r>
        <w:rPr>
          <w:rFonts w:ascii="ＭＳ 明朝" w:eastAsia="ＭＳ 明朝" w:hAnsi="ＭＳ 明朝" w:cs="ＭＳ 明朝" w:hint="eastAsia"/>
        </w:rPr>
        <w:t>本モデルでは、対象企業ごとに経営</w:t>
      </w:r>
      <w:r>
        <w:rPr>
          <w:rFonts w:hint="eastAsia"/>
        </w:rPr>
        <w:t>規模や地域特性といった固定効果を有すると考え、固定効果モデルを想定した。以下にモデル式と変数の定義を示す。</w:t>
      </w:r>
    </w:p>
    <w:p w:rsidR="000E5A8F" w:rsidRPr="00783D0D" w:rsidRDefault="000E5A8F" w:rsidP="000E5A8F"/>
    <w:p w:rsidR="000E5A8F" w:rsidRDefault="000E5A8F" w:rsidP="000E5A8F">
      <w:pPr>
        <w:jc w:val="center"/>
      </w:pPr>
      <w:r w:rsidRPr="0022299E">
        <w:rPr>
          <w:position w:val="-118"/>
        </w:rPr>
        <w:object w:dxaOrig="650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20pt" o:ole="">
            <v:imagedata r:id="rId11" o:title=""/>
          </v:shape>
          <o:OLEObject Type="Embed" ProgID="Equation.DSMT4" ShapeID="_x0000_i1025" DrawAspect="Content" ObjectID="_1486566479" r:id="rId12"/>
        </w:object>
      </w:r>
    </w:p>
    <w:p w:rsidR="000E5A8F" w:rsidRDefault="000E5A8F" w:rsidP="000E5A8F">
      <w:pPr>
        <w:jc w:val="center"/>
      </w:pPr>
    </w:p>
    <w:p w:rsidR="000E5A8F" w:rsidRDefault="000E5A8F" w:rsidP="000E5A8F">
      <w:pPr>
        <w:ind w:firstLineChars="100" w:firstLine="210"/>
      </w:pPr>
      <w:r>
        <w:rPr>
          <w:rFonts w:hint="eastAsia"/>
        </w:rPr>
        <w:t>ここで</w:t>
      </w:r>
      <w:r>
        <w:rPr>
          <w:rFonts w:hint="eastAsia"/>
        </w:rPr>
        <w:t>Granger</w:t>
      </w:r>
      <w:r>
        <w:rPr>
          <w:rFonts w:hint="eastAsia"/>
        </w:rPr>
        <w:t>の因果性検定より、後の分析でも用いる一人当たり販売量と工業用シェアと一人当たり営業費用の間の因果関係を判定すると、図</w:t>
      </w:r>
      <w:r>
        <w:rPr>
          <w:rFonts w:hint="eastAsia"/>
        </w:rPr>
        <w:t>6</w:t>
      </w:r>
      <w:r>
        <w:rPr>
          <w:rFonts w:hint="eastAsia"/>
        </w:rPr>
        <w:t>の通りになった。図では因果性が認められた箇所に丸をつけている。まず全ての事例を対象とすると、一人当たり販売量</w:t>
      </w:r>
      <w:r>
        <w:rPr>
          <w:rFonts w:hint="eastAsia"/>
        </w:rPr>
        <w:lastRenderedPageBreak/>
        <w:t>から一人当たり営業費用への因果性が認められた。そこで成功事例</w:t>
      </w:r>
      <w:r>
        <w:rPr>
          <w:rFonts w:hint="eastAsia"/>
        </w:rPr>
        <w:t>4</w:t>
      </w:r>
      <w:r>
        <w:rPr>
          <w:rFonts w:hint="eastAsia"/>
        </w:rPr>
        <w:t>市町村と成功事例以外に分けると、成功事例以外のみ因果性が認められた。その他の変数は因果性が認められなかった。</w:t>
      </w:r>
    </w:p>
    <w:p w:rsidR="000E5A8F" w:rsidRDefault="000E5A8F" w:rsidP="000E5A8F">
      <w:pPr>
        <w:jc w:val="center"/>
        <w:rPr>
          <w:noProof/>
        </w:rPr>
      </w:pPr>
      <w:r>
        <w:rPr>
          <w:noProof/>
        </w:rPr>
        <w:drawing>
          <wp:inline distT="0" distB="0" distL="0" distR="0" wp14:anchorId="4043CBED" wp14:editId="03F31ED0">
            <wp:extent cx="3019286" cy="2266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4.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1387" cy="2261019"/>
                    </a:xfrm>
                    <a:prstGeom prst="rect">
                      <a:avLst/>
                    </a:prstGeom>
                  </pic:spPr>
                </pic:pic>
              </a:graphicData>
            </a:graphic>
          </wp:inline>
        </w:drawing>
      </w:r>
    </w:p>
    <w:p w:rsidR="000E5A8F" w:rsidRDefault="000E5A8F" w:rsidP="000E5A8F">
      <w:pPr>
        <w:jc w:val="center"/>
      </w:pPr>
    </w:p>
    <w:p w:rsidR="000E5A8F" w:rsidRDefault="000E5A8F" w:rsidP="000E5A8F">
      <w:r>
        <w:rPr>
          <w:noProof/>
        </w:rPr>
        <w:drawing>
          <wp:inline distT="0" distB="0" distL="0" distR="0" wp14:anchorId="3BCD67B9" wp14:editId="5211096F">
            <wp:extent cx="2727506" cy="2047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5.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8902" cy="2056432"/>
                    </a:xfrm>
                    <a:prstGeom prst="rect">
                      <a:avLst/>
                    </a:prstGeom>
                  </pic:spPr>
                </pic:pic>
              </a:graphicData>
            </a:graphic>
          </wp:inline>
        </w:drawing>
      </w:r>
      <w:r>
        <w:rPr>
          <w:noProof/>
        </w:rPr>
        <w:drawing>
          <wp:inline distT="0" distB="0" distL="0" distR="0" wp14:anchorId="72A3D05F" wp14:editId="117DBFAE">
            <wp:extent cx="2664077" cy="2000250"/>
            <wp:effectExtent l="0" t="0" r="317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6.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026" cy="2002464"/>
                    </a:xfrm>
                    <a:prstGeom prst="rect">
                      <a:avLst/>
                    </a:prstGeom>
                  </pic:spPr>
                </pic:pic>
              </a:graphicData>
            </a:graphic>
          </wp:inline>
        </w:drawing>
      </w:r>
    </w:p>
    <w:p w:rsidR="000E5A8F" w:rsidRDefault="000E5A8F" w:rsidP="000E5A8F">
      <w:pPr>
        <w:jc w:val="center"/>
      </w:pPr>
      <w:r>
        <w:rPr>
          <w:rFonts w:hint="eastAsia"/>
        </w:rPr>
        <w:t>図</w:t>
      </w:r>
      <w:r>
        <w:rPr>
          <w:rFonts w:hint="eastAsia"/>
        </w:rPr>
        <w:t>6</w:t>
      </w:r>
      <w:r>
        <w:rPr>
          <w:rFonts w:hint="eastAsia"/>
        </w:rPr>
        <w:t xml:space="preserve">　因果性の検定結果</w:t>
      </w:r>
    </w:p>
    <w:p w:rsidR="000E5A8F" w:rsidRPr="00E37A82" w:rsidRDefault="000E5A8F" w:rsidP="000E5A8F"/>
    <w:p w:rsidR="000E5A8F" w:rsidRPr="00B26567" w:rsidRDefault="000E5A8F" w:rsidP="000E5A8F">
      <w:pPr>
        <w:ind w:firstLineChars="100" w:firstLine="210"/>
      </w:pPr>
      <w:r>
        <w:rPr>
          <w:rFonts w:hint="eastAsia"/>
        </w:rPr>
        <w:t>次に固定効果モデルを採用することが正しいことを明らかにするため、ハウスマン検定と</w:t>
      </w:r>
      <w:proofErr w:type="spellStart"/>
      <w:r w:rsidRPr="00B26567">
        <w:t>Breusch</w:t>
      </w:r>
      <w:proofErr w:type="spellEnd"/>
      <w:r w:rsidRPr="00B26567">
        <w:t>–Pagan</w:t>
      </w:r>
      <w:r>
        <w:rPr>
          <w:rFonts w:hint="eastAsia"/>
        </w:rPr>
        <w:t>検定を行った。その結果、どちらも帰無仮説が棄却されたため、ハウスマン検定の結果から固定効果モデルを採択した。</w:t>
      </w:r>
    </w:p>
    <w:p w:rsidR="000E5A8F" w:rsidRPr="001B44DD" w:rsidRDefault="000E5A8F" w:rsidP="000E5A8F">
      <w:pPr>
        <w:ind w:firstLineChars="100" w:firstLine="210"/>
      </w:pPr>
    </w:p>
    <w:p w:rsidR="000E5A8F" w:rsidRDefault="000E5A8F" w:rsidP="000E5A8F">
      <w:r>
        <w:rPr>
          <w:rFonts w:hint="eastAsia"/>
        </w:rPr>
        <w:t xml:space="preserve">　分析結果を以下の表に示す。表</w:t>
      </w:r>
      <w:r>
        <w:rPr>
          <w:rFonts w:hint="eastAsia"/>
        </w:rPr>
        <w:t>2</w:t>
      </w:r>
      <w:r>
        <w:rPr>
          <w:rFonts w:hint="eastAsia"/>
        </w:rPr>
        <w:t>より、前期の</w:t>
      </w:r>
      <w:r>
        <w:rPr>
          <w:rFonts w:hint="eastAsia"/>
        </w:rPr>
        <w:t>DID</w:t>
      </w:r>
      <w:r>
        <w:rPr>
          <w:rFonts w:hint="eastAsia"/>
        </w:rPr>
        <w:t>分析同様、民営化ダミーは有意でなかった。一方で、一人当たり工業用シェアと一人当たり営業費用は有意になった。この結果から、</w:t>
      </w:r>
      <w:r w:rsidRPr="00830973">
        <w:rPr>
          <w:rFonts w:hint="eastAsia"/>
        </w:rPr>
        <w:t>一人当たり販売量を増加させるためには</w:t>
      </w:r>
      <w:r>
        <w:rPr>
          <w:rFonts w:hint="eastAsia"/>
        </w:rPr>
        <w:t>大口顧客への販売のシェアを増やすことと、営業費用の増加が重要であることが分かった。特に一人当たり販売量と一人当たり営業費用の間にグレンジャー因果が存在したことを考慮すると、ここでは工業用シェアが販売量に対して有意に正の影響を与える点に特に注目したい。</w:t>
      </w:r>
    </w:p>
    <w:p w:rsidR="000E5A8F" w:rsidRDefault="000E5A8F" w:rsidP="000E5A8F"/>
    <w:tbl>
      <w:tblPr>
        <w:tblStyle w:val="a8"/>
        <w:tblW w:w="0" w:type="auto"/>
        <w:jc w:val="center"/>
        <w:tblLook w:val="04A0" w:firstRow="1" w:lastRow="0" w:firstColumn="1" w:lastColumn="0" w:noHBand="0" w:noVBand="1"/>
      </w:tblPr>
      <w:tblGrid>
        <w:gridCol w:w="1357"/>
        <w:gridCol w:w="1092"/>
        <w:gridCol w:w="1264"/>
        <w:gridCol w:w="1092"/>
        <w:gridCol w:w="1272"/>
      </w:tblGrid>
      <w:tr w:rsidR="000E5A8F" w:rsidTr="00D568D7">
        <w:trPr>
          <w:jc w:val="center"/>
        </w:trPr>
        <w:tc>
          <w:tcPr>
            <w:tcW w:w="1357" w:type="dxa"/>
          </w:tcPr>
          <w:p w:rsidR="000E5A8F" w:rsidRDefault="000E5A8F" w:rsidP="00D568D7">
            <w:pPr>
              <w:jc w:val="center"/>
            </w:pPr>
            <w:r>
              <w:rPr>
                <w:rFonts w:hint="eastAsia"/>
              </w:rPr>
              <w:lastRenderedPageBreak/>
              <w:t>変数名</w:t>
            </w:r>
          </w:p>
        </w:tc>
        <w:tc>
          <w:tcPr>
            <w:tcW w:w="1085" w:type="dxa"/>
          </w:tcPr>
          <w:p w:rsidR="000E5A8F" w:rsidRDefault="000E5A8F" w:rsidP="00D568D7">
            <w:pPr>
              <w:jc w:val="center"/>
            </w:pPr>
            <w:r>
              <w:t>Mean</w:t>
            </w:r>
          </w:p>
        </w:tc>
        <w:tc>
          <w:tcPr>
            <w:tcW w:w="1264" w:type="dxa"/>
          </w:tcPr>
          <w:p w:rsidR="000E5A8F" w:rsidRDefault="000E5A8F" w:rsidP="00D568D7">
            <w:pPr>
              <w:jc w:val="center"/>
            </w:pPr>
            <w:r>
              <w:t>Std. Dev</w:t>
            </w:r>
            <w:r>
              <w:rPr>
                <w:rFonts w:hint="eastAsia"/>
              </w:rPr>
              <w:t>.</w:t>
            </w:r>
          </w:p>
        </w:tc>
        <w:tc>
          <w:tcPr>
            <w:tcW w:w="1039" w:type="dxa"/>
          </w:tcPr>
          <w:p w:rsidR="000E5A8F" w:rsidRDefault="000E5A8F" w:rsidP="00D568D7">
            <w:pPr>
              <w:jc w:val="center"/>
            </w:pPr>
            <w:r>
              <w:t>Min</w:t>
            </w:r>
          </w:p>
        </w:tc>
        <w:tc>
          <w:tcPr>
            <w:tcW w:w="1272" w:type="dxa"/>
          </w:tcPr>
          <w:p w:rsidR="000E5A8F" w:rsidRPr="00CF50D8" w:rsidRDefault="000E5A8F" w:rsidP="00D568D7">
            <w:pPr>
              <w:jc w:val="center"/>
            </w:pPr>
            <w:r w:rsidRPr="00CF50D8">
              <w:t>Max</w:t>
            </w:r>
          </w:p>
        </w:tc>
      </w:tr>
      <w:tr w:rsidR="000E5A8F" w:rsidTr="00D568D7">
        <w:trPr>
          <w:jc w:val="center"/>
        </w:trPr>
        <w:tc>
          <w:tcPr>
            <w:tcW w:w="1357" w:type="dxa"/>
          </w:tcPr>
          <w:p w:rsidR="000E5A8F" w:rsidRDefault="000E5A8F" w:rsidP="00D568D7">
            <w:pPr>
              <w:jc w:val="center"/>
            </w:pPr>
            <w:proofErr w:type="spellStart"/>
            <w:r>
              <w:rPr>
                <w:rFonts w:hint="eastAsia"/>
              </w:rPr>
              <w:t>qt_one</w:t>
            </w:r>
            <w:proofErr w:type="spellEnd"/>
          </w:p>
        </w:tc>
        <w:tc>
          <w:tcPr>
            <w:tcW w:w="1085" w:type="dxa"/>
          </w:tcPr>
          <w:p w:rsidR="000E5A8F" w:rsidRDefault="000E5A8F" w:rsidP="00D568D7">
            <w:pPr>
              <w:jc w:val="center"/>
            </w:pPr>
            <w:r>
              <w:t>2153</w:t>
            </w:r>
            <w:r>
              <w:rPr>
                <w:rFonts w:hint="eastAsia"/>
              </w:rPr>
              <w:t>3</w:t>
            </w:r>
            <w:r w:rsidRPr="00CF50D8">
              <w:t xml:space="preserve"> </w:t>
            </w:r>
          </w:p>
        </w:tc>
        <w:tc>
          <w:tcPr>
            <w:tcW w:w="1264" w:type="dxa"/>
          </w:tcPr>
          <w:p w:rsidR="000E5A8F" w:rsidRDefault="000E5A8F" w:rsidP="00D568D7">
            <w:pPr>
              <w:jc w:val="center"/>
            </w:pPr>
            <w:r>
              <w:t>16967.6</w:t>
            </w:r>
          </w:p>
        </w:tc>
        <w:tc>
          <w:tcPr>
            <w:tcW w:w="1039" w:type="dxa"/>
          </w:tcPr>
          <w:p w:rsidR="000E5A8F" w:rsidRDefault="000E5A8F" w:rsidP="00D568D7">
            <w:pPr>
              <w:jc w:val="center"/>
            </w:pPr>
            <w:r>
              <w:t>1280.7</w:t>
            </w:r>
          </w:p>
        </w:tc>
        <w:tc>
          <w:tcPr>
            <w:tcW w:w="1272" w:type="dxa"/>
          </w:tcPr>
          <w:p w:rsidR="000E5A8F" w:rsidRDefault="000E5A8F" w:rsidP="00D568D7">
            <w:pPr>
              <w:jc w:val="center"/>
            </w:pPr>
            <w:r w:rsidRPr="00CF50D8">
              <w:t>80128.47</w:t>
            </w:r>
          </w:p>
        </w:tc>
      </w:tr>
      <w:tr w:rsidR="000E5A8F" w:rsidTr="00D568D7">
        <w:trPr>
          <w:jc w:val="center"/>
        </w:trPr>
        <w:tc>
          <w:tcPr>
            <w:tcW w:w="1357" w:type="dxa"/>
          </w:tcPr>
          <w:p w:rsidR="000E5A8F" w:rsidRDefault="000E5A8F" w:rsidP="00D568D7">
            <w:pPr>
              <w:jc w:val="center"/>
            </w:pPr>
            <w:proofErr w:type="spellStart"/>
            <w:r>
              <w:rPr>
                <w:rFonts w:hint="eastAsia"/>
              </w:rPr>
              <w:t>ind_share</w:t>
            </w:r>
            <w:proofErr w:type="spellEnd"/>
          </w:p>
        </w:tc>
        <w:tc>
          <w:tcPr>
            <w:tcW w:w="1085" w:type="dxa"/>
          </w:tcPr>
          <w:p w:rsidR="000E5A8F" w:rsidRDefault="000E5A8F" w:rsidP="00D568D7">
            <w:pPr>
              <w:jc w:val="center"/>
            </w:pPr>
            <w:r w:rsidRPr="00CF50D8">
              <w:t xml:space="preserve">18.27719    </w:t>
            </w:r>
          </w:p>
        </w:tc>
        <w:tc>
          <w:tcPr>
            <w:tcW w:w="1264" w:type="dxa"/>
          </w:tcPr>
          <w:p w:rsidR="000E5A8F" w:rsidRDefault="000E5A8F" w:rsidP="00D568D7">
            <w:pPr>
              <w:jc w:val="center"/>
            </w:pPr>
            <w:r>
              <w:t xml:space="preserve">23.10503          </w:t>
            </w:r>
          </w:p>
        </w:tc>
        <w:tc>
          <w:tcPr>
            <w:tcW w:w="1039" w:type="dxa"/>
          </w:tcPr>
          <w:p w:rsidR="000E5A8F" w:rsidRDefault="000E5A8F" w:rsidP="00D568D7">
            <w:pPr>
              <w:jc w:val="center"/>
            </w:pPr>
            <w:r>
              <w:rPr>
                <w:rFonts w:hint="eastAsia"/>
              </w:rPr>
              <w:t>0</w:t>
            </w:r>
          </w:p>
        </w:tc>
        <w:tc>
          <w:tcPr>
            <w:tcW w:w="1272" w:type="dxa"/>
          </w:tcPr>
          <w:p w:rsidR="000E5A8F" w:rsidRDefault="000E5A8F" w:rsidP="00D568D7">
            <w:pPr>
              <w:jc w:val="center"/>
            </w:pPr>
            <w:r w:rsidRPr="00CF50D8">
              <w:t>89.88043</w:t>
            </w:r>
          </w:p>
        </w:tc>
      </w:tr>
      <w:tr w:rsidR="000E5A8F" w:rsidTr="00D568D7">
        <w:trPr>
          <w:jc w:val="center"/>
        </w:trPr>
        <w:tc>
          <w:tcPr>
            <w:tcW w:w="1357" w:type="dxa"/>
          </w:tcPr>
          <w:p w:rsidR="000E5A8F" w:rsidRDefault="000E5A8F" w:rsidP="00D568D7">
            <w:pPr>
              <w:jc w:val="center"/>
            </w:pPr>
            <w:proofErr w:type="spellStart"/>
            <w:r>
              <w:rPr>
                <w:rFonts w:hint="eastAsia"/>
              </w:rPr>
              <w:t>cost_one</w:t>
            </w:r>
            <w:proofErr w:type="spellEnd"/>
          </w:p>
        </w:tc>
        <w:tc>
          <w:tcPr>
            <w:tcW w:w="1085" w:type="dxa"/>
          </w:tcPr>
          <w:p w:rsidR="000E5A8F" w:rsidRDefault="000E5A8F" w:rsidP="00D568D7">
            <w:pPr>
              <w:jc w:val="center"/>
            </w:pPr>
            <w:r w:rsidRPr="00CF50D8">
              <w:t xml:space="preserve">25.99763    </w:t>
            </w:r>
          </w:p>
        </w:tc>
        <w:tc>
          <w:tcPr>
            <w:tcW w:w="1264" w:type="dxa"/>
          </w:tcPr>
          <w:p w:rsidR="000E5A8F" w:rsidRDefault="000E5A8F" w:rsidP="00D568D7">
            <w:pPr>
              <w:jc w:val="center"/>
            </w:pPr>
            <w:r w:rsidRPr="00CF50D8">
              <w:t xml:space="preserve">12.06351   </w:t>
            </w:r>
          </w:p>
        </w:tc>
        <w:tc>
          <w:tcPr>
            <w:tcW w:w="1039" w:type="dxa"/>
          </w:tcPr>
          <w:p w:rsidR="000E5A8F" w:rsidRDefault="000E5A8F" w:rsidP="00D568D7">
            <w:pPr>
              <w:jc w:val="center"/>
            </w:pPr>
            <w:r w:rsidRPr="00CF50D8">
              <w:t xml:space="preserve">2.996067   </w:t>
            </w:r>
          </w:p>
        </w:tc>
        <w:tc>
          <w:tcPr>
            <w:tcW w:w="1272" w:type="dxa"/>
          </w:tcPr>
          <w:p w:rsidR="000E5A8F" w:rsidRDefault="000E5A8F" w:rsidP="00D568D7">
            <w:pPr>
              <w:jc w:val="center"/>
            </w:pPr>
            <w:r w:rsidRPr="00CF50D8">
              <w:t>77.76606</w:t>
            </w:r>
          </w:p>
        </w:tc>
      </w:tr>
      <w:tr w:rsidR="000E5A8F" w:rsidTr="00D568D7">
        <w:trPr>
          <w:jc w:val="center"/>
        </w:trPr>
        <w:tc>
          <w:tcPr>
            <w:tcW w:w="1357" w:type="dxa"/>
          </w:tcPr>
          <w:p w:rsidR="000E5A8F" w:rsidRDefault="000E5A8F" w:rsidP="00D568D7">
            <w:pPr>
              <w:jc w:val="center"/>
            </w:pPr>
            <w:r>
              <w:rPr>
                <w:rFonts w:hint="eastAsia"/>
              </w:rPr>
              <w:t>private</w:t>
            </w:r>
          </w:p>
        </w:tc>
        <w:tc>
          <w:tcPr>
            <w:tcW w:w="1085" w:type="dxa"/>
          </w:tcPr>
          <w:p w:rsidR="000E5A8F" w:rsidRDefault="000E5A8F" w:rsidP="00D568D7">
            <w:pPr>
              <w:jc w:val="center"/>
            </w:pPr>
            <w:r w:rsidRPr="0024313C">
              <w:t xml:space="preserve">.6352941             </w:t>
            </w:r>
          </w:p>
        </w:tc>
        <w:tc>
          <w:tcPr>
            <w:tcW w:w="1264" w:type="dxa"/>
          </w:tcPr>
          <w:p w:rsidR="000E5A8F" w:rsidRDefault="000E5A8F" w:rsidP="00D568D7">
            <w:pPr>
              <w:jc w:val="center"/>
            </w:pPr>
            <w:r w:rsidRPr="0024313C">
              <w:t>.4822942</w:t>
            </w:r>
          </w:p>
        </w:tc>
        <w:tc>
          <w:tcPr>
            <w:tcW w:w="1039" w:type="dxa"/>
          </w:tcPr>
          <w:p w:rsidR="000E5A8F" w:rsidRDefault="000E5A8F" w:rsidP="00D568D7">
            <w:pPr>
              <w:jc w:val="center"/>
            </w:pPr>
            <w:r>
              <w:rPr>
                <w:rFonts w:hint="eastAsia"/>
              </w:rPr>
              <w:t>0</w:t>
            </w:r>
          </w:p>
        </w:tc>
        <w:tc>
          <w:tcPr>
            <w:tcW w:w="1272" w:type="dxa"/>
          </w:tcPr>
          <w:p w:rsidR="000E5A8F" w:rsidRDefault="000E5A8F" w:rsidP="00D568D7">
            <w:pPr>
              <w:jc w:val="center"/>
            </w:pPr>
            <w:r>
              <w:rPr>
                <w:rFonts w:hint="eastAsia"/>
              </w:rPr>
              <w:t>1</w:t>
            </w:r>
          </w:p>
        </w:tc>
      </w:tr>
    </w:tbl>
    <w:p w:rsidR="000E5A8F" w:rsidRDefault="000E5A8F" w:rsidP="000E5A8F">
      <w:pPr>
        <w:jc w:val="center"/>
      </w:pPr>
      <w:r>
        <w:rPr>
          <w:rFonts w:hint="eastAsia"/>
        </w:rPr>
        <w:t>表</w:t>
      </w:r>
      <w:r>
        <w:rPr>
          <w:rFonts w:hint="eastAsia"/>
        </w:rPr>
        <w:t>1</w:t>
      </w:r>
      <w:r>
        <w:rPr>
          <w:rFonts w:hint="eastAsia"/>
        </w:rPr>
        <w:t xml:space="preserve">　基本統計量</w:t>
      </w:r>
    </w:p>
    <w:p w:rsidR="000E5A8F" w:rsidRPr="00073FD1" w:rsidRDefault="000E5A8F" w:rsidP="000E5A8F">
      <w:pPr>
        <w:jc w:val="center"/>
      </w:pPr>
    </w:p>
    <w:tbl>
      <w:tblPr>
        <w:tblW w:w="0" w:type="auto"/>
        <w:jc w:val="center"/>
        <w:tblLayout w:type="fixed"/>
        <w:tblCellMar>
          <w:left w:w="75" w:type="dxa"/>
          <w:right w:w="75" w:type="dxa"/>
        </w:tblCellMar>
        <w:tblLook w:val="0000" w:firstRow="0" w:lastRow="0" w:firstColumn="0" w:lastColumn="0" w:noHBand="0" w:noVBand="0"/>
      </w:tblPr>
      <w:tblGrid>
        <w:gridCol w:w="2235"/>
        <w:gridCol w:w="1296"/>
      </w:tblGrid>
      <w:tr w:rsidR="000E5A8F" w:rsidTr="00D568D7">
        <w:trPr>
          <w:jc w:val="center"/>
        </w:trPr>
        <w:tc>
          <w:tcPr>
            <w:tcW w:w="2235" w:type="dxa"/>
            <w:tcBorders>
              <w:top w:val="single" w:sz="6" w:space="0" w:color="auto"/>
              <w:left w:val="nil"/>
              <w:bottom w:val="nil"/>
              <w:right w:val="nil"/>
            </w:tcBorders>
          </w:tcPr>
          <w:p w:rsidR="000E5A8F" w:rsidRPr="00D2153D"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single" w:sz="6" w:space="0" w:color="auto"/>
              <w:left w:val="nil"/>
              <w:bottom w:val="nil"/>
              <w:right w:val="nil"/>
            </w:tcBorders>
          </w:tcPr>
          <w:p w:rsidR="000E5A8F" w:rsidRDefault="000E5A8F" w:rsidP="00D568D7">
            <w:pPr>
              <w:autoSpaceDE w:val="0"/>
              <w:autoSpaceDN w:val="0"/>
              <w:adjustRightInd w:val="0"/>
              <w:rPr>
                <w:rFonts w:ascii="Times New Roman" w:hAnsi="Times New Roman" w:cs="Times New Roman"/>
                <w:kern w:val="0"/>
                <w:sz w:val="24"/>
                <w:szCs w:val="24"/>
              </w:rPr>
            </w:pPr>
          </w:p>
        </w:tc>
      </w:tr>
      <w:tr w:rsidR="000E5A8F" w:rsidTr="00D568D7">
        <w:trPr>
          <w:jc w:val="center"/>
        </w:trPr>
        <w:tc>
          <w:tcPr>
            <w:tcW w:w="2235" w:type="dxa"/>
            <w:tcBorders>
              <w:top w:val="nil"/>
              <w:left w:val="nil"/>
              <w:bottom w:val="single" w:sz="6" w:space="0" w:color="auto"/>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VARIABLES</w:t>
            </w:r>
          </w:p>
        </w:tc>
        <w:tc>
          <w:tcPr>
            <w:tcW w:w="1296" w:type="dxa"/>
            <w:tcBorders>
              <w:top w:val="nil"/>
              <w:left w:val="nil"/>
              <w:bottom w:val="single" w:sz="6" w:space="0" w:color="auto"/>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qt_one</w:t>
            </w:r>
            <w:proofErr w:type="spellEnd"/>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ind_share</w:t>
            </w:r>
            <w:proofErr w:type="spellEnd"/>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288.3***</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(13.24)</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cost_one</w:t>
            </w:r>
            <w:proofErr w:type="spellEnd"/>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337.3***</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(7.697)</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private</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1,310</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(1.596)</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Constant</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6,663***</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(5.529)</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Observations</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255</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R-squared</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0.598</w:t>
            </w:r>
          </w:p>
        </w:tc>
      </w:tr>
      <w:tr w:rsidR="000E5A8F" w:rsidTr="00D568D7">
        <w:tblPrEx>
          <w:tblBorders>
            <w:bottom w:val="single" w:sz="6" w:space="0" w:color="auto"/>
          </w:tblBorders>
        </w:tblPrEx>
        <w:trPr>
          <w:jc w:val="center"/>
        </w:trPr>
        <w:tc>
          <w:tcPr>
            <w:tcW w:w="2235" w:type="dxa"/>
            <w:tcBorders>
              <w:top w:val="nil"/>
              <w:left w:val="nil"/>
              <w:bottom w:val="single" w:sz="6" w:space="0" w:color="auto"/>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Number of name</w:t>
            </w:r>
          </w:p>
        </w:tc>
        <w:tc>
          <w:tcPr>
            <w:tcW w:w="1296" w:type="dxa"/>
            <w:tcBorders>
              <w:top w:val="nil"/>
              <w:left w:val="nil"/>
              <w:bottom w:val="single" w:sz="6" w:space="0" w:color="auto"/>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17</w:t>
            </w:r>
          </w:p>
        </w:tc>
      </w:tr>
    </w:tbl>
    <w:p w:rsidR="000E5A8F" w:rsidRDefault="000E5A8F" w:rsidP="000E5A8F">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t-statistics in parentheses</w:t>
      </w:r>
    </w:p>
    <w:p w:rsidR="000E5A8F" w:rsidRPr="00AF5DC9" w:rsidRDefault="000E5A8F" w:rsidP="000E5A8F">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 p&lt;0.01, ** p&lt;0.05, * p&lt;0.1</w:t>
      </w:r>
    </w:p>
    <w:p w:rsidR="000E5A8F" w:rsidRDefault="000E5A8F" w:rsidP="000E5A8F">
      <w:pPr>
        <w:jc w:val="center"/>
      </w:pPr>
    </w:p>
    <w:p w:rsidR="000E5A8F" w:rsidRDefault="000E5A8F" w:rsidP="000E5A8F">
      <w:pPr>
        <w:jc w:val="center"/>
      </w:pPr>
      <w:r>
        <w:rPr>
          <w:rFonts w:hint="eastAsia"/>
        </w:rPr>
        <w:t>表</w:t>
      </w:r>
      <w:r>
        <w:rPr>
          <w:rFonts w:hint="eastAsia"/>
        </w:rPr>
        <w:t xml:space="preserve">2 </w:t>
      </w:r>
      <w:r>
        <w:rPr>
          <w:rFonts w:hint="eastAsia"/>
        </w:rPr>
        <w:t>一人当たり販売量の変動要因</w:t>
      </w:r>
    </w:p>
    <w:p w:rsidR="000E5A8F" w:rsidRDefault="000E5A8F" w:rsidP="000E5A8F"/>
    <w:p w:rsidR="000E5A8F" w:rsidRPr="008A214B" w:rsidRDefault="000E5A8F" w:rsidP="000E5A8F">
      <w:pPr>
        <w:rPr>
          <w:sz w:val="24"/>
        </w:rPr>
      </w:pPr>
      <w:r w:rsidRPr="008A214B">
        <w:rPr>
          <w:rFonts w:hint="eastAsia"/>
          <w:sz w:val="24"/>
        </w:rPr>
        <w:t>3-2</w:t>
      </w:r>
      <w:r w:rsidRPr="008A214B">
        <w:rPr>
          <w:rFonts w:hint="eastAsia"/>
          <w:sz w:val="24"/>
        </w:rPr>
        <w:t xml:space="preserve">　工業用シェアの変動要因</w:t>
      </w:r>
    </w:p>
    <w:p w:rsidR="000E5A8F" w:rsidRDefault="000E5A8F" w:rsidP="000E5A8F">
      <w:r>
        <w:rPr>
          <w:rFonts w:hint="eastAsia"/>
        </w:rPr>
        <w:t xml:space="preserve">　前節の結果より、民営化の成功要因として大口販売のシェアと営業費用が考えられることが分かった。よって本節では工業用シェアに着目し、民営化や営業費用が工業用シェアに与える影響を分析した。以下にモデル式と変数の定義を示す。</w:t>
      </w:r>
    </w:p>
    <w:p w:rsidR="000E5A8F" w:rsidRPr="00787A0F" w:rsidRDefault="000E5A8F" w:rsidP="000E5A8F"/>
    <w:p w:rsidR="000E5A8F" w:rsidRDefault="000E5A8F" w:rsidP="000E5A8F">
      <w:pPr>
        <w:ind w:left="630" w:hangingChars="300" w:hanging="630"/>
        <w:jc w:val="center"/>
      </w:pPr>
      <w:r w:rsidRPr="00787A0F">
        <w:rPr>
          <w:position w:val="-82"/>
        </w:rPr>
        <w:object w:dxaOrig="5620" w:dyaOrig="1760">
          <v:shape id="_x0000_i1026" type="#_x0000_t75" style="width:281.5pt;height:87.5pt" o:ole="">
            <v:imagedata r:id="rId16" o:title=""/>
          </v:shape>
          <o:OLEObject Type="Embed" ProgID="Equation.DSMT4" ShapeID="_x0000_i1026" DrawAspect="Content" ObjectID="_1486566480" r:id="rId17"/>
        </w:object>
      </w:r>
    </w:p>
    <w:p w:rsidR="000E5A8F" w:rsidRDefault="000E5A8F" w:rsidP="000E5A8F"/>
    <w:p w:rsidR="000E5A8F" w:rsidRDefault="000E5A8F" w:rsidP="000E5A8F">
      <w:pPr>
        <w:ind w:firstLineChars="100" w:firstLine="210"/>
      </w:pPr>
      <w:r>
        <w:rPr>
          <w:rFonts w:hint="eastAsia"/>
        </w:rPr>
        <w:t>なお、本分析では工業用シェアの変動時点が民営化年との間に</w:t>
      </w:r>
      <w:r w:rsidRPr="00830973">
        <w:rPr>
          <w:rFonts w:hint="eastAsia"/>
        </w:rPr>
        <w:t>ラグがあるため、</w:t>
      </w:r>
      <w:r>
        <w:rPr>
          <w:rFonts w:hint="eastAsia"/>
        </w:rPr>
        <w:t>パネルデータでは有意な結果が得られなかった。そこでプーリング回帰モデルを採択した。</w:t>
      </w:r>
    </w:p>
    <w:p w:rsidR="000E5A8F" w:rsidRDefault="000E5A8F" w:rsidP="000E5A8F">
      <w:pPr>
        <w:ind w:firstLineChars="100" w:firstLine="210"/>
      </w:pPr>
    </w:p>
    <w:p w:rsidR="000E5A8F" w:rsidRDefault="000E5A8F" w:rsidP="000E5A8F">
      <w:pPr>
        <w:ind w:firstLineChars="100" w:firstLine="210"/>
      </w:pPr>
      <w:r>
        <w:rPr>
          <w:rFonts w:hint="eastAsia"/>
        </w:rPr>
        <w:t>分析結果を表</w:t>
      </w:r>
      <w:r>
        <w:rPr>
          <w:rFonts w:hint="eastAsia"/>
        </w:rPr>
        <w:t>4</w:t>
      </w:r>
      <w:r>
        <w:rPr>
          <w:rFonts w:hint="eastAsia"/>
        </w:rPr>
        <w:t>に示す。まず、一人当たり営業費用は有意でなく、符号は負になった。しかし、民営化ダミーと一人当たり営業費用の交差項は</w:t>
      </w:r>
      <w:r w:rsidRPr="00830973">
        <w:rPr>
          <w:rFonts w:hint="eastAsia"/>
        </w:rPr>
        <w:t>正に有意</w:t>
      </w:r>
      <w:r>
        <w:rPr>
          <w:rFonts w:hint="eastAsia"/>
        </w:rPr>
        <w:t>であった。このことから、工業用シェアを伸ばすには大口営業にかける費用を増やすだけでなく、</w:t>
      </w:r>
      <w:r>
        <w:t>民営化して営業費用を増やす</w:t>
      </w:r>
      <w:r>
        <w:rPr>
          <w:rFonts w:hint="eastAsia"/>
        </w:rPr>
        <w:t>ことで</w:t>
      </w:r>
      <w:r>
        <w:t>工業用シェア</w:t>
      </w:r>
      <w:r>
        <w:rPr>
          <w:rFonts w:hint="eastAsia"/>
        </w:rPr>
        <w:t>が伸びることが分かった。なお前節で行った因果性検定から、工業用シェアと一人当たり営業費用の間には因果性が認められないことは確認出来ており、工業用シェアが増えた結果として営業費用が伸びたという仮説は棄却される。</w:t>
      </w:r>
    </w:p>
    <w:p w:rsidR="000E5A8F" w:rsidRDefault="000E5A8F" w:rsidP="000E5A8F">
      <w:pPr>
        <w:ind w:firstLineChars="100" w:firstLine="210"/>
      </w:pPr>
    </w:p>
    <w:tbl>
      <w:tblPr>
        <w:tblStyle w:val="a8"/>
        <w:tblW w:w="0" w:type="auto"/>
        <w:jc w:val="center"/>
        <w:tblLook w:val="04A0" w:firstRow="1" w:lastRow="0" w:firstColumn="1" w:lastColumn="0" w:noHBand="0" w:noVBand="1"/>
      </w:tblPr>
      <w:tblGrid>
        <w:gridCol w:w="1422"/>
        <w:gridCol w:w="1092"/>
        <w:gridCol w:w="1264"/>
        <w:gridCol w:w="1092"/>
        <w:gridCol w:w="1272"/>
      </w:tblGrid>
      <w:tr w:rsidR="000E5A8F" w:rsidTr="00D568D7">
        <w:trPr>
          <w:jc w:val="center"/>
        </w:trPr>
        <w:tc>
          <w:tcPr>
            <w:tcW w:w="1422" w:type="dxa"/>
          </w:tcPr>
          <w:p w:rsidR="000E5A8F" w:rsidRDefault="000E5A8F" w:rsidP="00D568D7">
            <w:pPr>
              <w:jc w:val="center"/>
            </w:pPr>
            <w:r>
              <w:rPr>
                <w:rFonts w:hint="eastAsia"/>
              </w:rPr>
              <w:t>変数名</w:t>
            </w:r>
          </w:p>
        </w:tc>
        <w:tc>
          <w:tcPr>
            <w:tcW w:w="1092" w:type="dxa"/>
          </w:tcPr>
          <w:p w:rsidR="000E5A8F" w:rsidRDefault="000E5A8F" w:rsidP="00D568D7">
            <w:pPr>
              <w:jc w:val="center"/>
            </w:pPr>
            <w:r>
              <w:t>Mean</w:t>
            </w:r>
          </w:p>
        </w:tc>
        <w:tc>
          <w:tcPr>
            <w:tcW w:w="1264" w:type="dxa"/>
          </w:tcPr>
          <w:p w:rsidR="000E5A8F" w:rsidRDefault="000E5A8F" w:rsidP="00D568D7">
            <w:pPr>
              <w:jc w:val="center"/>
            </w:pPr>
            <w:r>
              <w:t>Std. Dev</w:t>
            </w:r>
            <w:r>
              <w:rPr>
                <w:rFonts w:hint="eastAsia"/>
              </w:rPr>
              <w:t>.</w:t>
            </w:r>
          </w:p>
        </w:tc>
        <w:tc>
          <w:tcPr>
            <w:tcW w:w="1092" w:type="dxa"/>
          </w:tcPr>
          <w:p w:rsidR="000E5A8F" w:rsidRDefault="000E5A8F" w:rsidP="00D568D7">
            <w:pPr>
              <w:jc w:val="center"/>
            </w:pPr>
            <w:r>
              <w:t>Min</w:t>
            </w:r>
          </w:p>
        </w:tc>
        <w:tc>
          <w:tcPr>
            <w:tcW w:w="1272" w:type="dxa"/>
          </w:tcPr>
          <w:p w:rsidR="000E5A8F" w:rsidRPr="00CF50D8" w:rsidRDefault="000E5A8F" w:rsidP="00D568D7">
            <w:pPr>
              <w:jc w:val="center"/>
            </w:pPr>
            <w:r w:rsidRPr="00CF50D8">
              <w:t>Max</w:t>
            </w:r>
          </w:p>
        </w:tc>
      </w:tr>
      <w:tr w:rsidR="000E5A8F" w:rsidTr="00D568D7">
        <w:trPr>
          <w:jc w:val="center"/>
        </w:trPr>
        <w:tc>
          <w:tcPr>
            <w:tcW w:w="1422" w:type="dxa"/>
          </w:tcPr>
          <w:p w:rsidR="000E5A8F" w:rsidRDefault="000E5A8F" w:rsidP="00D568D7">
            <w:pPr>
              <w:jc w:val="center"/>
            </w:pPr>
            <w:proofErr w:type="spellStart"/>
            <w:r>
              <w:rPr>
                <w:rFonts w:hint="eastAsia"/>
              </w:rPr>
              <w:t>ind_share</w:t>
            </w:r>
            <w:proofErr w:type="spellEnd"/>
          </w:p>
        </w:tc>
        <w:tc>
          <w:tcPr>
            <w:tcW w:w="1092" w:type="dxa"/>
          </w:tcPr>
          <w:p w:rsidR="000E5A8F" w:rsidRDefault="000E5A8F" w:rsidP="00D568D7">
            <w:pPr>
              <w:jc w:val="center"/>
            </w:pPr>
            <w:r w:rsidRPr="00CF50D8">
              <w:t xml:space="preserve">18.27719    </w:t>
            </w:r>
          </w:p>
        </w:tc>
        <w:tc>
          <w:tcPr>
            <w:tcW w:w="1264" w:type="dxa"/>
          </w:tcPr>
          <w:p w:rsidR="000E5A8F" w:rsidRDefault="000E5A8F" w:rsidP="00D568D7">
            <w:pPr>
              <w:jc w:val="center"/>
            </w:pPr>
            <w:r>
              <w:t xml:space="preserve">23.10503          </w:t>
            </w:r>
          </w:p>
        </w:tc>
        <w:tc>
          <w:tcPr>
            <w:tcW w:w="1092" w:type="dxa"/>
          </w:tcPr>
          <w:p w:rsidR="000E5A8F" w:rsidRDefault="000E5A8F" w:rsidP="00D568D7">
            <w:pPr>
              <w:jc w:val="center"/>
            </w:pPr>
            <w:r>
              <w:rPr>
                <w:rFonts w:hint="eastAsia"/>
              </w:rPr>
              <w:t>0</w:t>
            </w:r>
          </w:p>
        </w:tc>
        <w:tc>
          <w:tcPr>
            <w:tcW w:w="1272" w:type="dxa"/>
          </w:tcPr>
          <w:p w:rsidR="000E5A8F" w:rsidRDefault="000E5A8F" w:rsidP="00D568D7">
            <w:pPr>
              <w:jc w:val="center"/>
            </w:pPr>
            <w:r w:rsidRPr="00CF50D8">
              <w:t>89.88043</w:t>
            </w:r>
          </w:p>
        </w:tc>
      </w:tr>
      <w:tr w:rsidR="000E5A8F" w:rsidTr="00D568D7">
        <w:trPr>
          <w:jc w:val="center"/>
        </w:trPr>
        <w:tc>
          <w:tcPr>
            <w:tcW w:w="1422" w:type="dxa"/>
          </w:tcPr>
          <w:p w:rsidR="000E5A8F" w:rsidRDefault="000E5A8F" w:rsidP="00D568D7">
            <w:pPr>
              <w:jc w:val="center"/>
            </w:pPr>
            <w:proofErr w:type="spellStart"/>
            <w:r>
              <w:rPr>
                <w:rFonts w:hint="eastAsia"/>
              </w:rPr>
              <w:t>cost_one</w:t>
            </w:r>
            <w:proofErr w:type="spellEnd"/>
          </w:p>
        </w:tc>
        <w:tc>
          <w:tcPr>
            <w:tcW w:w="1092" w:type="dxa"/>
          </w:tcPr>
          <w:p w:rsidR="000E5A8F" w:rsidRDefault="000E5A8F" w:rsidP="00D568D7">
            <w:pPr>
              <w:jc w:val="center"/>
            </w:pPr>
            <w:r w:rsidRPr="00CF50D8">
              <w:t xml:space="preserve">25.99763    </w:t>
            </w:r>
          </w:p>
        </w:tc>
        <w:tc>
          <w:tcPr>
            <w:tcW w:w="1264" w:type="dxa"/>
          </w:tcPr>
          <w:p w:rsidR="000E5A8F" w:rsidRDefault="000E5A8F" w:rsidP="00D568D7">
            <w:pPr>
              <w:jc w:val="center"/>
            </w:pPr>
            <w:r w:rsidRPr="00CF50D8">
              <w:t xml:space="preserve">12.06351   </w:t>
            </w:r>
          </w:p>
        </w:tc>
        <w:tc>
          <w:tcPr>
            <w:tcW w:w="1092" w:type="dxa"/>
          </w:tcPr>
          <w:p w:rsidR="000E5A8F" w:rsidRDefault="000E5A8F" w:rsidP="00D568D7">
            <w:pPr>
              <w:jc w:val="center"/>
            </w:pPr>
            <w:r w:rsidRPr="00CF50D8">
              <w:t xml:space="preserve">2.996067   </w:t>
            </w:r>
          </w:p>
        </w:tc>
        <w:tc>
          <w:tcPr>
            <w:tcW w:w="1272" w:type="dxa"/>
          </w:tcPr>
          <w:p w:rsidR="000E5A8F" w:rsidRDefault="000E5A8F" w:rsidP="00D568D7">
            <w:pPr>
              <w:jc w:val="center"/>
            </w:pPr>
            <w:r w:rsidRPr="00CF50D8">
              <w:t>77.76606</w:t>
            </w:r>
          </w:p>
        </w:tc>
      </w:tr>
      <w:tr w:rsidR="000E5A8F" w:rsidTr="00D568D7">
        <w:trPr>
          <w:jc w:val="center"/>
        </w:trPr>
        <w:tc>
          <w:tcPr>
            <w:tcW w:w="1422" w:type="dxa"/>
          </w:tcPr>
          <w:p w:rsidR="000E5A8F" w:rsidRDefault="000E5A8F" w:rsidP="00D568D7">
            <w:pPr>
              <w:jc w:val="center"/>
            </w:pPr>
            <w:proofErr w:type="spellStart"/>
            <w:r>
              <w:rPr>
                <w:rFonts w:hint="eastAsia"/>
              </w:rPr>
              <w:t>pri_cost_one</w:t>
            </w:r>
            <w:proofErr w:type="spellEnd"/>
          </w:p>
        </w:tc>
        <w:tc>
          <w:tcPr>
            <w:tcW w:w="1092" w:type="dxa"/>
          </w:tcPr>
          <w:p w:rsidR="000E5A8F" w:rsidRDefault="000E5A8F" w:rsidP="00D568D7">
            <w:pPr>
              <w:jc w:val="center"/>
            </w:pPr>
            <w:r w:rsidRPr="00122F34">
              <w:t xml:space="preserve">17.03165    </w:t>
            </w:r>
          </w:p>
        </w:tc>
        <w:tc>
          <w:tcPr>
            <w:tcW w:w="1264" w:type="dxa"/>
          </w:tcPr>
          <w:p w:rsidR="000E5A8F" w:rsidRDefault="000E5A8F" w:rsidP="00D568D7">
            <w:pPr>
              <w:jc w:val="center"/>
            </w:pPr>
            <w:r>
              <w:t xml:space="preserve">16.54654          </w:t>
            </w:r>
          </w:p>
        </w:tc>
        <w:tc>
          <w:tcPr>
            <w:tcW w:w="1092" w:type="dxa"/>
          </w:tcPr>
          <w:p w:rsidR="000E5A8F" w:rsidRDefault="000E5A8F" w:rsidP="00D568D7">
            <w:pPr>
              <w:jc w:val="center"/>
            </w:pPr>
            <w:r>
              <w:rPr>
                <w:rFonts w:hint="eastAsia"/>
              </w:rPr>
              <w:t>0</w:t>
            </w:r>
          </w:p>
        </w:tc>
        <w:tc>
          <w:tcPr>
            <w:tcW w:w="1272" w:type="dxa"/>
          </w:tcPr>
          <w:p w:rsidR="000E5A8F" w:rsidRDefault="000E5A8F" w:rsidP="00D568D7">
            <w:pPr>
              <w:jc w:val="center"/>
            </w:pPr>
            <w:r w:rsidRPr="00122F34">
              <w:t>77.76606</w:t>
            </w:r>
          </w:p>
        </w:tc>
      </w:tr>
    </w:tbl>
    <w:p w:rsidR="000E5A8F" w:rsidRPr="00ED45E0" w:rsidRDefault="000E5A8F" w:rsidP="000E5A8F">
      <w:pPr>
        <w:jc w:val="center"/>
      </w:pPr>
      <w:r>
        <w:rPr>
          <w:rFonts w:hint="eastAsia"/>
        </w:rPr>
        <w:t>表</w:t>
      </w:r>
      <w:r>
        <w:rPr>
          <w:rFonts w:hint="eastAsia"/>
        </w:rPr>
        <w:t>3</w:t>
      </w:r>
      <w:r>
        <w:rPr>
          <w:rFonts w:hint="eastAsia"/>
        </w:rPr>
        <w:t xml:space="preserve">　基本統計量</w:t>
      </w:r>
    </w:p>
    <w:tbl>
      <w:tblPr>
        <w:tblW w:w="0" w:type="auto"/>
        <w:jc w:val="center"/>
        <w:tblLayout w:type="fixed"/>
        <w:tblCellMar>
          <w:left w:w="75" w:type="dxa"/>
          <w:right w:w="75" w:type="dxa"/>
        </w:tblCellMar>
        <w:tblLook w:val="0000" w:firstRow="0" w:lastRow="0" w:firstColumn="0" w:lastColumn="0" w:noHBand="0" w:noVBand="0"/>
      </w:tblPr>
      <w:tblGrid>
        <w:gridCol w:w="1947"/>
        <w:gridCol w:w="1440"/>
      </w:tblGrid>
      <w:tr w:rsidR="000E5A8F" w:rsidTr="00D568D7">
        <w:trPr>
          <w:jc w:val="center"/>
        </w:trPr>
        <w:tc>
          <w:tcPr>
            <w:tcW w:w="1947" w:type="dxa"/>
            <w:tcBorders>
              <w:top w:val="single" w:sz="6" w:space="0" w:color="auto"/>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440" w:type="dxa"/>
            <w:tcBorders>
              <w:top w:val="single" w:sz="6" w:space="0" w:color="auto"/>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1947" w:type="dxa"/>
            <w:tcBorders>
              <w:top w:val="nil"/>
              <w:left w:val="nil"/>
              <w:bottom w:val="single" w:sz="6" w:space="0" w:color="auto"/>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VARIABLES</w:t>
            </w:r>
          </w:p>
        </w:tc>
        <w:tc>
          <w:tcPr>
            <w:tcW w:w="1440" w:type="dxa"/>
            <w:tcBorders>
              <w:top w:val="nil"/>
              <w:left w:val="nil"/>
              <w:bottom w:val="single" w:sz="6" w:space="0" w:color="auto"/>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ind_share</w:t>
            </w:r>
            <w:proofErr w:type="spellEnd"/>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cost_one</w:t>
            </w:r>
            <w:proofErr w:type="spellEnd"/>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-0.177</w:t>
            </w: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(-1.252)</w:t>
            </w: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pri_cost_one</w:t>
            </w:r>
            <w:proofErr w:type="spellEnd"/>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0.573***</w:t>
            </w: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(5.575)</w:t>
            </w: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Constant</w:t>
            </w:r>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13.10***</w:t>
            </w: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(4.026)</w:t>
            </w: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1947"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Observations</w:t>
            </w:r>
          </w:p>
        </w:tc>
        <w:tc>
          <w:tcPr>
            <w:tcW w:w="1440"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255</w:t>
            </w:r>
          </w:p>
        </w:tc>
      </w:tr>
      <w:tr w:rsidR="000E5A8F" w:rsidTr="00D568D7">
        <w:tblPrEx>
          <w:tblBorders>
            <w:bottom w:val="single" w:sz="6" w:space="0" w:color="auto"/>
          </w:tblBorders>
        </w:tblPrEx>
        <w:trPr>
          <w:jc w:val="center"/>
        </w:trPr>
        <w:tc>
          <w:tcPr>
            <w:tcW w:w="1947" w:type="dxa"/>
            <w:tcBorders>
              <w:top w:val="nil"/>
              <w:left w:val="nil"/>
              <w:bottom w:val="single" w:sz="6" w:space="0" w:color="auto"/>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R-squared</w:t>
            </w:r>
          </w:p>
        </w:tc>
        <w:tc>
          <w:tcPr>
            <w:tcW w:w="1440" w:type="dxa"/>
            <w:tcBorders>
              <w:top w:val="nil"/>
              <w:left w:val="nil"/>
              <w:bottom w:val="single" w:sz="6" w:space="0" w:color="auto"/>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0.131</w:t>
            </w:r>
          </w:p>
        </w:tc>
      </w:tr>
    </w:tbl>
    <w:p w:rsidR="000E5A8F" w:rsidRDefault="000E5A8F" w:rsidP="000E5A8F">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t-statistics in parentheses</w:t>
      </w:r>
    </w:p>
    <w:p w:rsidR="000E5A8F" w:rsidRPr="005C6395" w:rsidRDefault="000E5A8F" w:rsidP="000E5A8F">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 p&lt;0.01, ** p&lt;0.05, * p&lt;0.1</w:t>
      </w:r>
    </w:p>
    <w:p w:rsidR="000E5A8F" w:rsidRDefault="000E5A8F" w:rsidP="000E5A8F">
      <w:pPr>
        <w:jc w:val="center"/>
      </w:pPr>
      <w:r>
        <w:rPr>
          <w:rFonts w:hint="eastAsia"/>
        </w:rPr>
        <w:t>表</w:t>
      </w:r>
      <w:r>
        <w:rPr>
          <w:rFonts w:hint="eastAsia"/>
        </w:rPr>
        <w:t>4</w:t>
      </w:r>
      <w:r>
        <w:rPr>
          <w:rFonts w:hint="eastAsia"/>
        </w:rPr>
        <w:t>工業用シェアの変動要因</w:t>
      </w:r>
    </w:p>
    <w:p w:rsidR="000E5A8F" w:rsidRPr="008A214B" w:rsidRDefault="000E5A8F" w:rsidP="000E5A8F">
      <w:pPr>
        <w:rPr>
          <w:sz w:val="24"/>
        </w:rPr>
      </w:pPr>
      <w:r w:rsidRPr="008A214B">
        <w:rPr>
          <w:rFonts w:hint="eastAsia"/>
          <w:sz w:val="24"/>
        </w:rPr>
        <w:lastRenderedPageBreak/>
        <w:t>3-3</w:t>
      </w:r>
      <w:r w:rsidRPr="008A214B">
        <w:rPr>
          <w:rFonts w:hint="eastAsia"/>
          <w:sz w:val="24"/>
        </w:rPr>
        <w:t xml:space="preserve">　一人当たり営業費用の変動要因</w:t>
      </w:r>
    </w:p>
    <w:p w:rsidR="000E5A8F" w:rsidRPr="00D95DBC" w:rsidRDefault="000E5A8F" w:rsidP="000E5A8F">
      <w:r>
        <w:rPr>
          <w:rFonts w:hint="eastAsia"/>
        </w:rPr>
        <w:t xml:space="preserve">　今までの分析から、一人当たり販売量を増やすには工業用シェアを伸ばすことが有意であり、工業用シェアを伸ばすには民営化かつ一人当たり営業費用を増やすことが必要ということが分かった。そこで最後に、民営化した企業の中でも成功事例に見られる特徴を明らかにするため、</w:t>
      </w:r>
      <w:r>
        <w:rPr>
          <w:rFonts w:hint="eastAsia"/>
        </w:rPr>
        <w:t>2</w:t>
      </w:r>
      <w:r>
        <w:rPr>
          <w:rFonts w:hint="eastAsia"/>
        </w:rPr>
        <w:t>章で定義した成功事例、つまり秋田、西脇、中津、小須戸の</w:t>
      </w:r>
      <w:r>
        <w:rPr>
          <w:rFonts w:hint="eastAsia"/>
        </w:rPr>
        <w:t>4</w:t>
      </w:r>
      <w:r>
        <w:rPr>
          <w:rFonts w:hint="eastAsia"/>
        </w:rPr>
        <w:t>市町村は</w:t>
      </w:r>
      <w:r>
        <w:rPr>
          <w:rFonts w:hint="eastAsia"/>
        </w:rPr>
        <w:t>1</w:t>
      </w:r>
      <w:r>
        <w:rPr>
          <w:rFonts w:hint="eastAsia"/>
        </w:rPr>
        <w:t>、その他は</w:t>
      </w:r>
      <w:r>
        <w:rPr>
          <w:rFonts w:hint="eastAsia"/>
        </w:rPr>
        <w:t>0</w:t>
      </w:r>
      <w:r>
        <w:rPr>
          <w:rFonts w:hint="eastAsia"/>
        </w:rPr>
        <w:t>を取る成功ダミーを定義し、このダミーが一人当たり営業費用を与える影響を分析した。</w:t>
      </w:r>
    </w:p>
    <w:p w:rsidR="000E5A8F" w:rsidRPr="00D95DBC" w:rsidRDefault="000E5A8F" w:rsidP="000E5A8F"/>
    <w:p w:rsidR="000E5A8F" w:rsidRDefault="000E5A8F" w:rsidP="000E5A8F">
      <w:pPr>
        <w:jc w:val="center"/>
      </w:pPr>
      <w:r w:rsidRPr="00787A0F">
        <w:rPr>
          <w:position w:val="-100"/>
        </w:rPr>
        <w:object w:dxaOrig="5620" w:dyaOrig="2120">
          <v:shape id="_x0000_i1027" type="#_x0000_t75" style="width:281.5pt;height:106pt" o:ole="">
            <v:imagedata r:id="rId18" o:title=""/>
          </v:shape>
          <o:OLEObject Type="Embed" ProgID="Equation.DSMT4" ShapeID="_x0000_i1027" DrawAspect="Content" ObjectID="_1486566481" r:id="rId19"/>
        </w:object>
      </w:r>
    </w:p>
    <w:p w:rsidR="000E5A8F" w:rsidRDefault="000E5A8F" w:rsidP="000E5A8F"/>
    <w:p w:rsidR="000E5A8F" w:rsidRDefault="000E5A8F" w:rsidP="000E5A8F">
      <w:pPr>
        <w:ind w:firstLineChars="100" w:firstLine="210"/>
      </w:pPr>
      <w:r>
        <w:rPr>
          <w:rFonts w:hint="eastAsia"/>
        </w:rPr>
        <w:t>ここで、固定効果モデルを採用することが正しいことを明らかにするため、ハウスマン検定と</w:t>
      </w:r>
      <w:proofErr w:type="spellStart"/>
      <w:r w:rsidRPr="00B26567">
        <w:t>Breusch</w:t>
      </w:r>
      <w:proofErr w:type="spellEnd"/>
      <w:r w:rsidRPr="00B26567">
        <w:t>–Pagan</w:t>
      </w:r>
      <w:r>
        <w:rPr>
          <w:rFonts w:hint="eastAsia"/>
        </w:rPr>
        <w:t>検定を行った。その結果、ハウスマン検定は</w:t>
      </w:r>
      <w:r>
        <w:rPr>
          <w:rFonts w:hint="eastAsia"/>
        </w:rPr>
        <w:t>5%</w:t>
      </w:r>
      <w:r>
        <w:rPr>
          <w:rFonts w:hint="eastAsia"/>
        </w:rPr>
        <w:t>有意水準で帰無仮説が棄却され、同様に</w:t>
      </w:r>
      <w:proofErr w:type="spellStart"/>
      <w:r>
        <w:rPr>
          <w:rFonts w:hint="eastAsia"/>
        </w:rPr>
        <w:t>Breusch-Pegan</w:t>
      </w:r>
      <w:proofErr w:type="spellEnd"/>
      <w:r>
        <w:rPr>
          <w:rFonts w:hint="eastAsia"/>
        </w:rPr>
        <w:t>検定も棄却され、ハウスマン検定の結果から固定効果モデルを採択した。</w:t>
      </w:r>
    </w:p>
    <w:p w:rsidR="000E5A8F" w:rsidRPr="00B26567" w:rsidRDefault="000E5A8F" w:rsidP="000E5A8F">
      <w:pPr>
        <w:ind w:firstLineChars="100" w:firstLine="210"/>
      </w:pPr>
    </w:p>
    <w:p w:rsidR="000E5A8F" w:rsidRPr="00830973" w:rsidRDefault="000E5A8F" w:rsidP="000E5A8F">
      <w:r>
        <w:rPr>
          <w:rFonts w:hint="eastAsia"/>
        </w:rPr>
        <w:t xml:space="preserve">　分析結果を表</w:t>
      </w:r>
      <w:r>
        <w:rPr>
          <w:rFonts w:hint="eastAsia"/>
        </w:rPr>
        <w:t>6</w:t>
      </w:r>
      <w:r>
        <w:rPr>
          <w:rFonts w:hint="eastAsia"/>
        </w:rPr>
        <w:t>に示す。この結果より、一人当たり営業費用に対して民営化ダミーは有意でないが、民営化ダミーと</w:t>
      </w:r>
      <w:r w:rsidRPr="00830973">
        <w:rPr>
          <w:rFonts w:hint="eastAsia"/>
        </w:rPr>
        <w:t>成功ダミーは正に有意</w:t>
      </w:r>
      <w:r>
        <w:rPr>
          <w:rFonts w:hint="eastAsia"/>
        </w:rPr>
        <w:t>であることが分かる。よって</w:t>
      </w:r>
      <w:r w:rsidRPr="00830973">
        <w:t>民営化だけでは</w:t>
      </w:r>
      <w:r>
        <w:rPr>
          <w:rFonts w:hint="eastAsia"/>
        </w:rPr>
        <w:t>営業</w:t>
      </w:r>
      <w:r>
        <w:t>費用に影響を与えない</w:t>
      </w:r>
      <w:r>
        <w:rPr>
          <w:rFonts w:hint="eastAsia"/>
        </w:rPr>
        <w:t>が、</w:t>
      </w:r>
      <w:r>
        <w:t>成功事例は営業費用を伸ばしてい</w:t>
      </w:r>
      <w:r>
        <w:rPr>
          <w:rFonts w:hint="eastAsia"/>
        </w:rPr>
        <w:t>ることが分かった。ここで</w:t>
      </w:r>
      <w:r>
        <w:rPr>
          <w:rFonts w:hint="eastAsia"/>
        </w:rPr>
        <w:t>3-1</w:t>
      </w:r>
      <w:r>
        <w:rPr>
          <w:rFonts w:hint="eastAsia"/>
        </w:rPr>
        <w:t>節の因果性検定の結果を踏まえると、成功事例では一人当たり販売量と一人当たり営業費用の間の因果性が認められなかった一方で、成功事例以外では認められた。このことから、成功事例では営業努力によって営業費用を増やしたことが販売促進、ひいては利益の増加という成功に結び付いた一方で、成功事例以外は販売量増加に伴う営業費用がかさみ、成功に繋がらなかったという結果が考えられる。</w:t>
      </w:r>
    </w:p>
    <w:p w:rsidR="000E5A8F" w:rsidRDefault="000E5A8F" w:rsidP="000E5A8F"/>
    <w:tbl>
      <w:tblPr>
        <w:tblStyle w:val="a8"/>
        <w:tblW w:w="0" w:type="auto"/>
        <w:jc w:val="center"/>
        <w:tblLook w:val="04A0" w:firstRow="1" w:lastRow="0" w:firstColumn="1" w:lastColumn="0" w:noHBand="0" w:noVBand="1"/>
      </w:tblPr>
      <w:tblGrid>
        <w:gridCol w:w="1422"/>
        <w:gridCol w:w="1092"/>
        <w:gridCol w:w="1264"/>
        <w:gridCol w:w="1092"/>
        <w:gridCol w:w="1272"/>
      </w:tblGrid>
      <w:tr w:rsidR="000E5A8F" w:rsidTr="00D568D7">
        <w:trPr>
          <w:jc w:val="center"/>
        </w:trPr>
        <w:tc>
          <w:tcPr>
            <w:tcW w:w="1422" w:type="dxa"/>
          </w:tcPr>
          <w:p w:rsidR="000E5A8F" w:rsidRDefault="000E5A8F" w:rsidP="00D568D7">
            <w:pPr>
              <w:jc w:val="center"/>
            </w:pPr>
            <w:r>
              <w:rPr>
                <w:rFonts w:hint="eastAsia"/>
              </w:rPr>
              <w:t>変数名</w:t>
            </w:r>
          </w:p>
        </w:tc>
        <w:tc>
          <w:tcPr>
            <w:tcW w:w="1092" w:type="dxa"/>
          </w:tcPr>
          <w:p w:rsidR="000E5A8F" w:rsidRDefault="000E5A8F" w:rsidP="00D568D7">
            <w:pPr>
              <w:jc w:val="center"/>
            </w:pPr>
            <w:r>
              <w:t>Mean</w:t>
            </w:r>
          </w:p>
        </w:tc>
        <w:tc>
          <w:tcPr>
            <w:tcW w:w="1264" w:type="dxa"/>
          </w:tcPr>
          <w:p w:rsidR="000E5A8F" w:rsidRDefault="000E5A8F" w:rsidP="00D568D7">
            <w:pPr>
              <w:jc w:val="center"/>
            </w:pPr>
            <w:r>
              <w:t>Std. Dev</w:t>
            </w:r>
            <w:r>
              <w:rPr>
                <w:rFonts w:hint="eastAsia"/>
              </w:rPr>
              <w:t>.</w:t>
            </w:r>
          </w:p>
        </w:tc>
        <w:tc>
          <w:tcPr>
            <w:tcW w:w="1092" w:type="dxa"/>
          </w:tcPr>
          <w:p w:rsidR="000E5A8F" w:rsidRDefault="000E5A8F" w:rsidP="00D568D7">
            <w:pPr>
              <w:jc w:val="center"/>
            </w:pPr>
            <w:r>
              <w:t>Min</w:t>
            </w:r>
          </w:p>
        </w:tc>
        <w:tc>
          <w:tcPr>
            <w:tcW w:w="1272" w:type="dxa"/>
          </w:tcPr>
          <w:p w:rsidR="000E5A8F" w:rsidRPr="00CF50D8" w:rsidRDefault="000E5A8F" w:rsidP="00D568D7">
            <w:pPr>
              <w:jc w:val="center"/>
            </w:pPr>
            <w:r w:rsidRPr="00CF50D8">
              <w:t>Max</w:t>
            </w:r>
          </w:p>
        </w:tc>
      </w:tr>
      <w:tr w:rsidR="000E5A8F" w:rsidTr="00D568D7">
        <w:trPr>
          <w:jc w:val="center"/>
        </w:trPr>
        <w:tc>
          <w:tcPr>
            <w:tcW w:w="1422" w:type="dxa"/>
          </w:tcPr>
          <w:p w:rsidR="000E5A8F" w:rsidRDefault="000E5A8F" w:rsidP="00D568D7">
            <w:pPr>
              <w:jc w:val="center"/>
            </w:pPr>
            <w:proofErr w:type="spellStart"/>
            <w:r>
              <w:rPr>
                <w:rFonts w:hint="eastAsia"/>
              </w:rPr>
              <w:t>cost_one</w:t>
            </w:r>
            <w:proofErr w:type="spellEnd"/>
          </w:p>
        </w:tc>
        <w:tc>
          <w:tcPr>
            <w:tcW w:w="1092" w:type="dxa"/>
          </w:tcPr>
          <w:p w:rsidR="000E5A8F" w:rsidRDefault="000E5A8F" w:rsidP="00D568D7">
            <w:pPr>
              <w:jc w:val="center"/>
            </w:pPr>
            <w:r w:rsidRPr="00CF50D8">
              <w:t xml:space="preserve">25.99763    </w:t>
            </w:r>
          </w:p>
        </w:tc>
        <w:tc>
          <w:tcPr>
            <w:tcW w:w="1264" w:type="dxa"/>
          </w:tcPr>
          <w:p w:rsidR="000E5A8F" w:rsidRDefault="000E5A8F" w:rsidP="00D568D7">
            <w:pPr>
              <w:jc w:val="center"/>
            </w:pPr>
            <w:r w:rsidRPr="00CF50D8">
              <w:t xml:space="preserve">12.06351   </w:t>
            </w:r>
          </w:p>
        </w:tc>
        <w:tc>
          <w:tcPr>
            <w:tcW w:w="1092" w:type="dxa"/>
          </w:tcPr>
          <w:p w:rsidR="000E5A8F" w:rsidRDefault="000E5A8F" w:rsidP="00D568D7">
            <w:pPr>
              <w:jc w:val="center"/>
            </w:pPr>
            <w:r w:rsidRPr="00CF50D8">
              <w:t xml:space="preserve">2.996067   </w:t>
            </w:r>
          </w:p>
        </w:tc>
        <w:tc>
          <w:tcPr>
            <w:tcW w:w="1272" w:type="dxa"/>
          </w:tcPr>
          <w:p w:rsidR="000E5A8F" w:rsidRDefault="000E5A8F" w:rsidP="00D568D7">
            <w:pPr>
              <w:jc w:val="center"/>
            </w:pPr>
            <w:r w:rsidRPr="00CF50D8">
              <w:t>77.76606</w:t>
            </w:r>
          </w:p>
        </w:tc>
      </w:tr>
      <w:tr w:rsidR="000E5A8F" w:rsidTr="00D568D7">
        <w:trPr>
          <w:jc w:val="center"/>
        </w:trPr>
        <w:tc>
          <w:tcPr>
            <w:tcW w:w="1422" w:type="dxa"/>
          </w:tcPr>
          <w:p w:rsidR="000E5A8F" w:rsidRDefault="000E5A8F" w:rsidP="00D568D7">
            <w:pPr>
              <w:jc w:val="center"/>
            </w:pPr>
            <w:r>
              <w:rPr>
                <w:rFonts w:hint="eastAsia"/>
              </w:rPr>
              <w:t>private</w:t>
            </w:r>
          </w:p>
        </w:tc>
        <w:tc>
          <w:tcPr>
            <w:tcW w:w="1092" w:type="dxa"/>
          </w:tcPr>
          <w:p w:rsidR="000E5A8F" w:rsidRDefault="000E5A8F" w:rsidP="00D568D7">
            <w:pPr>
              <w:jc w:val="center"/>
            </w:pPr>
            <w:r w:rsidRPr="0024313C">
              <w:t xml:space="preserve">.6352941             </w:t>
            </w:r>
          </w:p>
        </w:tc>
        <w:tc>
          <w:tcPr>
            <w:tcW w:w="1264" w:type="dxa"/>
          </w:tcPr>
          <w:p w:rsidR="000E5A8F" w:rsidRDefault="000E5A8F" w:rsidP="00D568D7">
            <w:pPr>
              <w:jc w:val="center"/>
            </w:pPr>
            <w:r w:rsidRPr="0024313C">
              <w:t>.4822942</w:t>
            </w:r>
          </w:p>
        </w:tc>
        <w:tc>
          <w:tcPr>
            <w:tcW w:w="1092" w:type="dxa"/>
          </w:tcPr>
          <w:p w:rsidR="000E5A8F" w:rsidRDefault="000E5A8F" w:rsidP="00D568D7">
            <w:pPr>
              <w:jc w:val="center"/>
            </w:pPr>
            <w:r>
              <w:rPr>
                <w:rFonts w:hint="eastAsia"/>
              </w:rPr>
              <w:t>0</w:t>
            </w:r>
          </w:p>
        </w:tc>
        <w:tc>
          <w:tcPr>
            <w:tcW w:w="1272" w:type="dxa"/>
          </w:tcPr>
          <w:p w:rsidR="000E5A8F" w:rsidRDefault="000E5A8F" w:rsidP="00D568D7">
            <w:pPr>
              <w:jc w:val="center"/>
            </w:pPr>
            <w:r>
              <w:rPr>
                <w:rFonts w:hint="eastAsia"/>
              </w:rPr>
              <w:t>1</w:t>
            </w:r>
          </w:p>
        </w:tc>
      </w:tr>
      <w:tr w:rsidR="000E5A8F" w:rsidTr="00D568D7">
        <w:trPr>
          <w:jc w:val="center"/>
        </w:trPr>
        <w:tc>
          <w:tcPr>
            <w:tcW w:w="1422" w:type="dxa"/>
          </w:tcPr>
          <w:p w:rsidR="000E5A8F" w:rsidRDefault="000E5A8F" w:rsidP="00D568D7">
            <w:pPr>
              <w:jc w:val="center"/>
            </w:pPr>
            <w:r>
              <w:rPr>
                <w:rFonts w:hint="eastAsia"/>
              </w:rPr>
              <w:t>success</w:t>
            </w:r>
          </w:p>
        </w:tc>
        <w:tc>
          <w:tcPr>
            <w:tcW w:w="1092" w:type="dxa"/>
          </w:tcPr>
          <w:p w:rsidR="000E5A8F" w:rsidRPr="00CF50D8" w:rsidRDefault="000E5A8F" w:rsidP="00D568D7">
            <w:pPr>
              <w:jc w:val="center"/>
            </w:pPr>
            <w:r w:rsidRPr="004407CF">
              <w:t xml:space="preserve">.2352941   </w:t>
            </w:r>
          </w:p>
        </w:tc>
        <w:tc>
          <w:tcPr>
            <w:tcW w:w="1264" w:type="dxa"/>
          </w:tcPr>
          <w:p w:rsidR="000E5A8F" w:rsidRPr="00CF50D8" w:rsidRDefault="000E5A8F" w:rsidP="00D568D7">
            <w:r w:rsidRPr="004407CF">
              <w:t>.4250167</w:t>
            </w:r>
          </w:p>
        </w:tc>
        <w:tc>
          <w:tcPr>
            <w:tcW w:w="1092" w:type="dxa"/>
          </w:tcPr>
          <w:p w:rsidR="000E5A8F" w:rsidRPr="00CF50D8" w:rsidRDefault="000E5A8F" w:rsidP="00D568D7">
            <w:pPr>
              <w:jc w:val="center"/>
            </w:pPr>
            <w:r>
              <w:rPr>
                <w:rFonts w:hint="eastAsia"/>
              </w:rPr>
              <w:t>0</w:t>
            </w:r>
          </w:p>
        </w:tc>
        <w:tc>
          <w:tcPr>
            <w:tcW w:w="1272" w:type="dxa"/>
          </w:tcPr>
          <w:p w:rsidR="000E5A8F" w:rsidRPr="00CF50D8" w:rsidRDefault="000E5A8F" w:rsidP="00D568D7">
            <w:pPr>
              <w:jc w:val="center"/>
            </w:pPr>
            <w:r>
              <w:rPr>
                <w:rFonts w:hint="eastAsia"/>
              </w:rPr>
              <w:t>1</w:t>
            </w:r>
          </w:p>
        </w:tc>
      </w:tr>
      <w:tr w:rsidR="000E5A8F" w:rsidTr="00D568D7">
        <w:trPr>
          <w:jc w:val="center"/>
        </w:trPr>
        <w:tc>
          <w:tcPr>
            <w:tcW w:w="1422" w:type="dxa"/>
          </w:tcPr>
          <w:p w:rsidR="000E5A8F" w:rsidRDefault="000E5A8F" w:rsidP="00D568D7">
            <w:pPr>
              <w:jc w:val="center"/>
            </w:pPr>
            <w:proofErr w:type="spellStart"/>
            <w:r>
              <w:rPr>
                <w:rFonts w:hint="eastAsia"/>
              </w:rPr>
              <w:t>pri_success</w:t>
            </w:r>
            <w:proofErr w:type="spellEnd"/>
          </w:p>
        </w:tc>
        <w:tc>
          <w:tcPr>
            <w:tcW w:w="1092" w:type="dxa"/>
          </w:tcPr>
          <w:p w:rsidR="000E5A8F" w:rsidRDefault="000E5A8F" w:rsidP="00D568D7">
            <w:pPr>
              <w:jc w:val="center"/>
            </w:pPr>
            <w:r w:rsidRPr="004407CF">
              <w:t xml:space="preserve">.1764706  </w:t>
            </w:r>
          </w:p>
        </w:tc>
        <w:tc>
          <w:tcPr>
            <w:tcW w:w="1264" w:type="dxa"/>
          </w:tcPr>
          <w:p w:rsidR="000E5A8F" w:rsidRDefault="000E5A8F" w:rsidP="00D568D7">
            <w:r w:rsidRPr="004407CF">
              <w:t>.3819697</w:t>
            </w:r>
          </w:p>
        </w:tc>
        <w:tc>
          <w:tcPr>
            <w:tcW w:w="1092" w:type="dxa"/>
          </w:tcPr>
          <w:p w:rsidR="000E5A8F" w:rsidRDefault="000E5A8F" w:rsidP="00D568D7">
            <w:pPr>
              <w:jc w:val="center"/>
            </w:pPr>
            <w:r>
              <w:rPr>
                <w:rFonts w:hint="eastAsia"/>
              </w:rPr>
              <w:t>0</w:t>
            </w:r>
          </w:p>
        </w:tc>
        <w:tc>
          <w:tcPr>
            <w:tcW w:w="1272" w:type="dxa"/>
          </w:tcPr>
          <w:p w:rsidR="000E5A8F" w:rsidRDefault="000E5A8F" w:rsidP="00D568D7">
            <w:pPr>
              <w:jc w:val="center"/>
            </w:pPr>
            <w:r>
              <w:rPr>
                <w:rFonts w:hint="eastAsia"/>
              </w:rPr>
              <w:t>1</w:t>
            </w:r>
          </w:p>
        </w:tc>
      </w:tr>
    </w:tbl>
    <w:p w:rsidR="000E5A8F" w:rsidRDefault="000E5A8F" w:rsidP="000E5A8F">
      <w:pPr>
        <w:jc w:val="center"/>
      </w:pPr>
      <w:r>
        <w:rPr>
          <w:rFonts w:hint="eastAsia"/>
        </w:rPr>
        <w:t>表</w:t>
      </w:r>
      <w:r>
        <w:rPr>
          <w:rFonts w:hint="eastAsia"/>
        </w:rPr>
        <w:t>5</w:t>
      </w:r>
      <w:r>
        <w:rPr>
          <w:rFonts w:hint="eastAsia"/>
        </w:rPr>
        <w:t xml:space="preserve">　基本統計量</w:t>
      </w:r>
    </w:p>
    <w:p w:rsidR="000E5A8F" w:rsidRDefault="000E5A8F" w:rsidP="000E5A8F"/>
    <w:tbl>
      <w:tblPr>
        <w:tblW w:w="0" w:type="auto"/>
        <w:jc w:val="center"/>
        <w:tblLayout w:type="fixed"/>
        <w:tblCellMar>
          <w:left w:w="75" w:type="dxa"/>
          <w:right w:w="75" w:type="dxa"/>
        </w:tblCellMar>
        <w:tblLook w:val="0000" w:firstRow="0" w:lastRow="0" w:firstColumn="0" w:lastColumn="0" w:noHBand="0" w:noVBand="0"/>
      </w:tblPr>
      <w:tblGrid>
        <w:gridCol w:w="2235"/>
        <w:gridCol w:w="1296"/>
      </w:tblGrid>
      <w:tr w:rsidR="000E5A8F" w:rsidTr="00D568D7">
        <w:trPr>
          <w:jc w:val="center"/>
        </w:trPr>
        <w:tc>
          <w:tcPr>
            <w:tcW w:w="2235" w:type="dxa"/>
            <w:tcBorders>
              <w:top w:val="single" w:sz="6" w:space="0" w:color="auto"/>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single" w:sz="6" w:space="0" w:color="auto"/>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2235" w:type="dxa"/>
            <w:tcBorders>
              <w:top w:val="nil"/>
              <w:left w:val="nil"/>
              <w:bottom w:val="single" w:sz="6" w:space="0" w:color="auto"/>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VARIABLES</w:t>
            </w:r>
          </w:p>
        </w:tc>
        <w:tc>
          <w:tcPr>
            <w:tcW w:w="1296" w:type="dxa"/>
            <w:tcBorders>
              <w:top w:val="nil"/>
              <w:left w:val="nil"/>
              <w:bottom w:val="single" w:sz="6" w:space="0" w:color="auto"/>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cost_one</w:t>
            </w:r>
            <w:proofErr w:type="spellEnd"/>
          </w:p>
        </w:tc>
      </w:tr>
      <w:tr w:rsidR="000E5A8F" w:rsidTr="00D568D7">
        <w:trPr>
          <w:trHeight w:val="171"/>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private</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0.320</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(0.288)</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pri_success</w:t>
            </w:r>
            <w:proofErr w:type="spellEnd"/>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12.35***</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(4.979)</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Constant</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23.62***</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(29.96)</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Observations</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255</w:t>
            </w:r>
          </w:p>
        </w:tc>
      </w:tr>
      <w:tr w:rsidR="000E5A8F" w:rsidTr="00D568D7">
        <w:trPr>
          <w:jc w:val="center"/>
        </w:trPr>
        <w:tc>
          <w:tcPr>
            <w:tcW w:w="2235" w:type="dxa"/>
            <w:tcBorders>
              <w:top w:val="nil"/>
              <w:left w:val="nil"/>
              <w:bottom w:val="nil"/>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Number of name</w:t>
            </w:r>
          </w:p>
        </w:tc>
        <w:tc>
          <w:tcPr>
            <w:tcW w:w="1296" w:type="dxa"/>
            <w:tcBorders>
              <w:top w:val="nil"/>
              <w:left w:val="nil"/>
              <w:bottom w:val="nil"/>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17</w:t>
            </w:r>
          </w:p>
        </w:tc>
      </w:tr>
      <w:tr w:rsidR="000E5A8F" w:rsidTr="00D568D7">
        <w:tblPrEx>
          <w:tblBorders>
            <w:bottom w:val="single" w:sz="6" w:space="0" w:color="auto"/>
          </w:tblBorders>
        </w:tblPrEx>
        <w:trPr>
          <w:jc w:val="center"/>
        </w:trPr>
        <w:tc>
          <w:tcPr>
            <w:tcW w:w="2235" w:type="dxa"/>
            <w:tcBorders>
              <w:top w:val="nil"/>
              <w:left w:val="nil"/>
              <w:bottom w:val="single" w:sz="6" w:space="0" w:color="auto"/>
              <w:right w:val="nil"/>
            </w:tcBorders>
          </w:tcPr>
          <w:p w:rsidR="000E5A8F" w:rsidRDefault="000E5A8F" w:rsidP="00D568D7">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R-squared</w:t>
            </w:r>
          </w:p>
        </w:tc>
        <w:tc>
          <w:tcPr>
            <w:tcW w:w="1296" w:type="dxa"/>
            <w:tcBorders>
              <w:top w:val="nil"/>
              <w:left w:val="nil"/>
              <w:bottom w:val="single" w:sz="6" w:space="0" w:color="auto"/>
              <w:right w:val="nil"/>
            </w:tcBorders>
          </w:tcPr>
          <w:p w:rsidR="000E5A8F" w:rsidRDefault="000E5A8F" w:rsidP="00D568D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0.122</w:t>
            </w:r>
          </w:p>
        </w:tc>
      </w:tr>
    </w:tbl>
    <w:p w:rsidR="000E5A8F" w:rsidRDefault="000E5A8F" w:rsidP="000E5A8F">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t-statistics in parentheses</w:t>
      </w:r>
    </w:p>
    <w:p w:rsidR="000E5A8F" w:rsidRDefault="000E5A8F" w:rsidP="000E5A8F">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 p&lt;0.01, ** p&lt;0.05, * p&lt;0.1</w:t>
      </w:r>
    </w:p>
    <w:p w:rsidR="000E5A8F" w:rsidRPr="00D95DBC" w:rsidRDefault="000E5A8F" w:rsidP="000E5A8F"/>
    <w:p w:rsidR="000E5A8F" w:rsidRDefault="000E5A8F" w:rsidP="000E5A8F">
      <w:pPr>
        <w:jc w:val="center"/>
      </w:pPr>
      <w:r>
        <w:rPr>
          <w:rFonts w:hint="eastAsia"/>
        </w:rPr>
        <w:t>表</w:t>
      </w:r>
      <w:r>
        <w:rPr>
          <w:rFonts w:hint="eastAsia"/>
        </w:rPr>
        <w:t xml:space="preserve">6 </w:t>
      </w:r>
      <w:r>
        <w:rPr>
          <w:rFonts w:hint="eastAsia"/>
        </w:rPr>
        <w:t>一人当たり営業費用の変動要因</w:t>
      </w:r>
    </w:p>
    <w:p w:rsidR="000E5A8F" w:rsidRPr="00830973" w:rsidRDefault="000E5A8F" w:rsidP="000E5A8F"/>
    <w:p w:rsidR="000E5A8F" w:rsidRPr="008A214B" w:rsidRDefault="000E5A8F" w:rsidP="000E5A8F">
      <w:pPr>
        <w:rPr>
          <w:sz w:val="24"/>
        </w:rPr>
      </w:pPr>
      <w:r w:rsidRPr="008A214B">
        <w:rPr>
          <w:rFonts w:hint="eastAsia"/>
          <w:sz w:val="24"/>
        </w:rPr>
        <w:t>4</w:t>
      </w:r>
      <w:r w:rsidRPr="008A214B">
        <w:rPr>
          <w:rFonts w:hint="eastAsia"/>
          <w:sz w:val="24"/>
        </w:rPr>
        <w:t>章　考察</w:t>
      </w:r>
    </w:p>
    <w:p w:rsidR="000E5A8F" w:rsidRPr="00830973" w:rsidRDefault="000E5A8F" w:rsidP="000E5A8F">
      <w:r>
        <w:rPr>
          <w:rFonts w:hint="eastAsia"/>
        </w:rPr>
        <w:t xml:space="preserve">　最後に今までの分析を踏まえて、ガス事業民営化の成功要因とは何か、我々の見解をまとめたい。まず今までの議論を整理すると、</w:t>
      </w:r>
      <w:r>
        <w:rPr>
          <w:rFonts w:hint="eastAsia"/>
        </w:rPr>
        <w:t>2</w:t>
      </w:r>
      <w:r>
        <w:rPr>
          <w:rFonts w:hint="eastAsia"/>
        </w:rPr>
        <w:t>章の予察の結果、一人当たり販売量と附帯事業利益を除いた本業での経常利益の間には強い正の相関が見られた。この結果から、本論文では一人当たり販売量を民営化成功の指標として用いた。</w:t>
      </w:r>
      <w:r>
        <w:rPr>
          <w:rFonts w:hint="eastAsia"/>
        </w:rPr>
        <w:t>3</w:t>
      </w:r>
      <w:r>
        <w:rPr>
          <w:rFonts w:hint="eastAsia"/>
        </w:rPr>
        <w:t>章では平成</w:t>
      </w:r>
      <w:r>
        <w:rPr>
          <w:rFonts w:hint="eastAsia"/>
        </w:rPr>
        <w:t>10</w:t>
      </w:r>
      <w:r>
        <w:rPr>
          <w:rFonts w:hint="eastAsia"/>
        </w:rPr>
        <w:t>年から</w:t>
      </w:r>
      <w:r>
        <w:rPr>
          <w:rFonts w:hint="eastAsia"/>
        </w:rPr>
        <w:t>24</w:t>
      </w:r>
      <w:r>
        <w:rPr>
          <w:rFonts w:hint="eastAsia"/>
        </w:rPr>
        <w:t>年までの計</w:t>
      </w:r>
      <w:r>
        <w:rPr>
          <w:rFonts w:hint="eastAsia"/>
        </w:rPr>
        <w:t>17</w:t>
      </w:r>
      <w:r>
        <w:rPr>
          <w:rFonts w:hint="eastAsia"/>
        </w:rPr>
        <w:t>社の対象企業のデータを用いてパネルデータ分析を行った。そして一人当たり販売量の変動の説明変数として、工業用シェアと一人当たり営業費用、民営化ダミーを設定した。その結果、一人当たり販売量に対して</w:t>
      </w:r>
      <w:r w:rsidRPr="00830973">
        <w:rPr>
          <w:rFonts w:hint="eastAsia"/>
        </w:rPr>
        <w:t>民営化は有意でないが、工業用シェアや</w:t>
      </w:r>
      <w:r>
        <w:rPr>
          <w:rFonts w:hint="eastAsia"/>
        </w:rPr>
        <w:t>一人当たり</w:t>
      </w:r>
      <w:r w:rsidRPr="00830973">
        <w:rPr>
          <w:rFonts w:hint="eastAsia"/>
        </w:rPr>
        <w:t>営業費用</w:t>
      </w:r>
      <w:r>
        <w:rPr>
          <w:rFonts w:hint="eastAsia"/>
        </w:rPr>
        <w:t>は有意に影響することが分かった。そして、一人当たり販売量との因果性が認められなかった工業用シェアに着目すると、工業用シェアに対して一人当たり</w:t>
      </w:r>
      <w:r w:rsidRPr="00830973">
        <w:rPr>
          <w:rFonts w:hint="eastAsia"/>
        </w:rPr>
        <w:t>営業費用は有意でないが、民営化</w:t>
      </w:r>
      <w:r>
        <w:rPr>
          <w:rFonts w:hint="eastAsia"/>
        </w:rPr>
        <w:t>かつ営業費用を増やすと有意に正であることが分かった。最後に、民営化の成功要因が一人当たり営業費用にあると考え、営業費用に対して回帰分析を行った。その結果、民営化した企業のうち成功事例は営業費用を伸ばしていることを明らかにした。</w:t>
      </w:r>
    </w:p>
    <w:p w:rsidR="000E5A8F" w:rsidRPr="001870DA" w:rsidRDefault="000E5A8F" w:rsidP="000E5A8F"/>
    <w:p w:rsidR="000E5A8F" w:rsidRDefault="000E5A8F" w:rsidP="000E5A8F">
      <w:r>
        <w:rPr>
          <w:rFonts w:hint="eastAsia"/>
        </w:rPr>
        <w:t xml:space="preserve">　この結果から、まず前学期の予察と同様に、民営化のみではガス事業の効率化は図れないという結論を得た。そして民営化の成功要因とは、営業努力によって大口販売のシェアを伸ばすことであることが分かった。ここで成功事例をもう一度見てみると、</w:t>
      </w:r>
      <w:r>
        <w:rPr>
          <w:rFonts w:hint="eastAsia"/>
        </w:rPr>
        <w:t>4</w:t>
      </w:r>
      <w:r>
        <w:rPr>
          <w:rFonts w:hint="eastAsia"/>
        </w:rPr>
        <w:t>市町村のうち</w:t>
      </w:r>
      <w:r>
        <w:rPr>
          <w:rFonts w:hint="eastAsia"/>
        </w:rPr>
        <w:t>3</w:t>
      </w:r>
      <w:r>
        <w:rPr>
          <w:rFonts w:hint="eastAsia"/>
        </w:rPr>
        <w:t>つが大規模事業者への事業譲渡で民営化していることが分かる。中津市は伊藤忠エネクス、</w:t>
      </w:r>
      <w:r w:rsidRPr="00830973">
        <w:rPr>
          <w:rFonts w:hint="eastAsia"/>
        </w:rPr>
        <w:lastRenderedPageBreak/>
        <w:t>西脇</w:t>
      </w:r>
      <w:r>
        <w:rPr>
          <w:rFonts w:hint="eastAsia"/>
        </w:rPr>
        <w:t>市は伊丹産業、秋田市は</w:t>
      </w:r>
      <w:r w:rsidRPr="00830973">
        <w:rPr>
          <w:rFonts w:hint="eastAsia"/>
        </w:rPr>
        <w:t>東部ガス</w:t>
      </w:r>
      <w:r>
        <w:rPr>
          <w:rFonts w:hint="eastAsia"/>
        </w:rPr>
        <w:t>と民営化後の事業者はどれも大規模であり、工業用販売のシェアを伸ばすために必要な営業ノウハウを生かし、営業費用をかけて買収先の大口営業を促進することで、販売量を増やしていると考える。さらに大規模事業者は附帯事業も行っている事例が多く、このことも販売量を増やすことに繋がるだろう。このように、公営ガス事業者が民営化して成功を収めるには、ただ民営化するだけでなく、例えば大口営業のノウハウを持つ大規模事業者に営業譲渡すること、そして民営化後に</w:t>
      </w:r>
      <w:r w:rsidR="00EA38E4">
        <w:rPr>
          <w:rFonts w:hint="eastAsia"/>
        </w:rPr>
        <w:t>その地域で営業努力をすること、それらによって営業コストを</w:t>
      </w:r>
      <w:r w:rsidR="00272915">
        <w:rPr>
          <w:rFonts w:hint="eastAsia"/>
        </w:rPr>
        <w:t>有効に</w:t>
      </w:r>
      <w:r w:rsidR="00EA38E4">
        <w:rPr>
          <w:rFonts w:hint="eastAsia"/>
        </w:rPr>
        <w:t>増加させ</w:t>
      </w:r>
      <w:r w:rsidR="00272915">
        <w:rPr>
          <w:rFonts w:hint="eastAsia"/>
        </w:rPr>
        <w:t>ることで</w:t>
      </w:r>
      <w:r>
        <w:rPr>
          <w:rFonts w:hint="eastAsia"/>
        </w:rPr>
        <w:t>大口顧客を増やし、ガス販売量を伸ばすことが必要であると考える。</w:t>
      </w:r>
    </w:p>
    <w:p w:rsidR="00B7387F" w:rsidRDefault="00B7387F" w:rsidP="000E5A8F"/>
    <w:p w:rsidR="00B7387F" w:rsidRPr="00B7387F" w:rsidRDefault="00B7387F" w:rsidP="000E5A8F">
      <w:pPr>
        <w:rPr>
          <w:sz w:val="24"/>
          <w:szCs w:val="24"/>
        </w:rPr>
      </w:pPr>
      <w:r w:rsidRPr="00B7387F">
        <w:rPr>
          <w:rFonts w:hint="eastAsia"/>
          <w:sz w:val="24"/>
          <w:szCs w:val="24"/>
        </w:rPr>
        <w:t>5</w:t>
      </w:r>
      <w:r w:rsidRPr="00B7387F">
        <w:rPr>
          <w:rFonts w:hint="eastAsia"/>
          <w:sz w:val="24"/>
          <w:szCs w:val="24"/>
        </w:rPr>
        <w:t>章</w:t>
      </w:r>
      <w:r>
        <w:rPr>
          <w:rFonts w:hint="eastAsia"/>
          <w:sz w:val="24"/>
          <w:szCs w:val="24"/>
        </w:rPr>
        <w:t xml:space="preserve">　今後の課題</w:t>
      </w:r>
    </w:p>
    <w:p w:rsidR="00A80D71" w:rsidRDefault="00B7387F" w:rsidP="000E5A8F">
      <w:r>
        <w:rPr>
          <w:rFonts w:hint="eastAsia"/>
        </w:rPr>
        <w:t xml:space="preserve">　</w:t>
      </w:r>
      <w:r w:rsidR="00A80D71">
        <w:rPr>
          <w:rFonts w:hint="eastAsia"/>
        </w:rPr>
        <w:t>本</w:t>
      </w:r>
      <w:r w:rsidR="00D96822">
        <w:rPr>
          <w:rFonts w:hint="eastAsia"/>
        </w:rPr>
        <w:t>研究</w:t>
      </w:r>
      <w:r w:rsidR="00A80D71">
        <w:rPr>
          <w:rFonts w:hint="eastAsia"/>
        </w:rPr>
        <w:t>においては、公営都市ガス事業の民営化の成功要因に関して、従業員一人当たりガス販売量に着目したうえで検証を行った。結果として、</w:t>
      </w:r>
      <w:r w:rsidR="00A80D71">
        <w:rPr>
          <w:rFonts w:hint="eastAsia"/>
        </w:rPr>
        <w:t>4</w:t>
      </w:r>
      <w:r w:rsidR="00A80D71">
        <w:rPr>
          <w:rFonts w:hint="eastAsia"/>
        </w:rPr>
        <w:t>章までに述べたように従業員一人当たり民営化の成功要因として、営業努力による大口販売先の獲得が重要であるとの結果を示すことに成功した。しかしながら、</w:t>
      </w:r>
      <w:r w:rsidR="00D96822">
        <w:rPr>
          <w:rFonts w:hint="eastAsia"/>
        </w:rPr>
        <w:t>本研究</w:t>
      </w:r>
      <w:r w:rsidR="00A80D71">
        <w:rPr>
          <w:rFonts w:hint="eastAsia"/>
        </w:rPr>
        <w:t>の分析において</w:t>
      </w:r>
      <w:r w:rsidR="00AA4BCA">
        <w:rPr>
          <w:rFonts w:hint="eastAsia"/>
        </w:rPr>
        <w:t>はデータ制約及び時間制約等により</w:t>
      </w:r>
      <w:r w:rsidR="00A80D71">
        <w:rPr>
          <w:rFonts w:hint="eastAsia"/>
        </w:rPr>
        <w:t>検証が不十分</w:t>
      </w:r>
      <w:r w:rsidR="00AA4BCA">
        <w:rPr>
          <w:rFonts w:hint="eastAsia"/>
        </w:rPr>
        <w:t>とな</w:t>
      </w:r>
      <w:r w:rsidR="00A80D71">
        <w:rPr>
          <w:rFonts w:hint="eastAsia"/>
        </w:rPr>
        <w:t>った重要な論点</w:t>
      </w:r>
      <w:r w:rsidR="00D96822">
        <w:rPr>
          <w:rFonts w:hint="eastAsia"/>
        </w:rPr>
        <w:t>が</w:t>
      </w:r>
      <w:r w:rsidR="007834D8">
        <w:rPr>
          <w:rFonts w:hint="eastAsia"/>
        </w:rPr>
        <w:t>２</w:t>
      </w:r>
      <w:r w:rsidR="00AA4BCA">
        <w:rPr>
          <w:rFonts w:hint="eastAsia"/>
        </w:rPr>
        <w:t>点</w:t>
      </w:r>
      <w:r w:rsidR="00D96822">
        <w:rPr>
          <w:rFonts w:hint="eastAsia"/>
        </w:rPr>
        <w:t>存在して</w:t>
      </w:r>
      <w:r w:rsidR="00AA4BCA">
        <w:rPr>
          <w:rFonts w:hint="eastAsia"/>
        </w:rPr>
        <w:t>いる</w:t>
      </w:r>
      <w:r w:rsidR="007834D8">
        <w:rPr>
          <w:rFonts w:hint="eastAsia"/>
        </w:rPr>
        <w:t>と私たちは考えている</w:t>
      </w:r>
      <w:r w:rsidR="00AA4BCA">
        <w:rPr>
          <w:rFonts w:hint="eastAsia"/>
        </w:rPr>
        <w:t>。そのため</w:t>
      </w:r>
      <w:r w:rsidR="00EA38E4">
        <w:rPr>
          <w:rFonts w:hint="eastAsia"/>
        </w:rPr>
        <w:t>、</w:t>
      </w:r>
      <w:r w:rsidR="00AA4BCA">
        <w:rPr>
          <w:rFonts w:hint="eastAsia"/>
        </w:rPr>
        <w:t>本章においてはそれらの論点を今後の課題として言及したい。</w:t>
      </w:r>
    </w:p>
    <w:p w:rsidR="000E5A8F" w:rsidRDefault="000B44F4" w:rsidP="00D96822">
      <w:pPr>
        <w:ind w:firstLineChars="100" w:firstLine="210"/>
      </w:pPr>
      <w:r>
        <w:rPr>
          <w:rFonts w:hint="eastAsia"/>
        </w:rPr>
        <w:t>1</w:t>
      </w:r>
      <w:r>
        <w:rPr>
          <w:rFonts w:hint="eastAsia"/>
        </w:rPr>
        <w:t>点目は</w:t>
      </w:r>
      <w:r w:rsidR="00AA4BCA">
        <w:rPr>
          <w:rFonts w:hint="eastAsia"/>
        </w:rPr>
        <w:t>、</w:t>
      </w:r>
      <w:r w:rsidR="005128C6">
        <w:rPr>
          <w:rFonts w:hint="eastAsia"/>
        </w:rPr>
        <w:t>従業員一人当たりガス販売量</w:t>
      </w:r>
      <w:r w:rsidR="00663EDB">
        <w:rPr>
          <w:rFonts w:hint="eastAsia"/>
        </w:rPr>
        <w:t>の</w:t>
      </w:r>
      <w:r w:rsidR="005128C6">
        <w:rPr>
          <w:rFonts w:hint="eastAsia"/>
        </w:rPr>
        <w:t>都市ガス企業のパフォーマンス指標としての妥当性</w:t>
      </w:r>
      <w:r w:rsidR="0098628D">
        <w:rPr>
          <w:rFonts w:hint="eastAsia"/>
        </w:rPr>
        <w:t>である</w:t>
      </w:r>
      <w:r w:rsidR="00533EF2">
        <w:rPr>
          <w:rFonts w:hint="eastAsia"/>
        </w:rPr>
        <w:t>。</w:t>
      </w:r>
      <w:r w:rsidR="00533EF2">
        <w:rPr>
          <w:rFonts w:hint="eastAsia"/>
        </w:rPr>
        <w:t>2</w:t>
      </w:r>
      <w:r w:rsidR="00533EF2">
        <w:rPr>
          <w:rFonts w:hint="eastAsia"/>
        </w:rPr>
        <w:t>章でも述べたように、本研究においては事業者の自己決定による価格の影響を受けやすい</w:t>
      </w:r>
      <w:r w:rsidR="00D568D7">
        <w:rPr>
          <w:rFonts w:hint="eastAsia"/>
        </w:rPr>
        <w:t>ことを理由として</w:t>
      </w:r>
      <w:r w:rsidR="00533EF2">
        <w:rPr>
          <w:rFonts w:hint="eastAsia"/>
        </w:rPr>
        <w:t>、経常利益</w:t>
      </w:r>
      <w:r>
        <w:rPr>
          <w:rFonts w:hint="eastAsia"/>
        </w:rPr>
        <w:t>そのもの</w:t>
      </w:r>
      <w:r w:rsidR="00533EF2">
        <w:rPr>
          <w:rFonts w:hint="eastAsia"/>
        </w:rPr>
        <w:t>ではなく</w:t>
      </w:r>
      <w:r>
        <w:rPr>
          <w:rFonts w:hint="eastAsia"/>
        </w:rPr>
        <w:t>経常利益と一定程度の相関が見られた</w:t>
      </w:r>
      <w:r w:rsidR="00533EF2">
        <w:rPr>
          <w:rFonts w:hint="eastAsia"/>
        </w:rPr>
        <w:t>従業員一人当たりガス販売量を用いた</w:t>
      </w:r>
      <w:r w:rsidR="00D568D7">
        <w:rPr>
          <w:rFonts w:hint="eastAsia"/>
        </w:rPr>
        <w:t>。しかしながら、本来企業の好不調を判断する直接的な指標としては経常利益が最も適していること</w:t>
      </w:r>
      <w:r w:rsidR="001E699E">
        <w:rPr>
          <w:rFonts w:hint="eastAsia"/>
        </w:rPr>
        <w:t>や従業員一人当たりガス販売量からは観察できない民営化による効果の検証</w:t>
      </w:r>
      <w:r w:rsidR="005128C6">
        <w:rPr>
          <w:rFonts w:hint="eastAsia"/>
        </w:rPr>
        <w:t>が必要であること</w:t>
      </w:r>
      <w:r w:rsidR="00CB57E8">
        <w:rPr>
          <w:rFonts w:hint="eastAsia"/>
        </w:rPr>
        <w:t>を踏まえると</w:t>
      </w:r>
      <w:r w:rsidR="00D568D7">
        <w:rPr>
          <w:rFonts w:hint="eastAsia"/>
        </w:rPr>
        <w:t>、</w:t>
      </w:r>
      <w:r w:rsidR="001E699E">
        <w:rPr>
          <w:rFonts w:hint="eastAsia"/>
        </w:rPr>
        <w:t>今後は</w:t>
      </w:r>
      <w:r w:rsidR="00D568D7">
        <w:rPr>
          <w:rFonts w:hint="eastAsia"/>
        </w:rPr>
        <w:t>経</w:t>
      </w:r>
      <w:r w:rsidR="005128C6">
        <w:rPr>
          <w:rFonts w:hint="eastAsia"/>
        </w:rPr>
        <w:t>常利益</w:t>
      </w:r>
      <w:r w:rsidR="00E30C1F">
        <w:rPr>
          <w:rFonts w:hint="eastAsia"/>
        </w:rPr>
        <w:t>やその他の値</w:t>
      </w:r>
      <w:r w:rsidR="005128C6">
        <w:rPr>
          <w:rFonts w:hint="eastAsia"/>
        </w:rPr>
        <w:t>の変化</w:t>
      </w:r>
      <w:r w:rsidR="00BE4E55">
        <w:rPr>
          <w:rFonts w:hint="eastAsia"/>
        </w:rPr>
        <w:t>に着目した分析も</w:t>
      </w:r>
      <w:r w:rsidR="001E699E">
        <w:rPr>
          <w:rFonts w:hint="eastAsia"/>
        </w:rPr>
        <w:t>行うべきであると考えられる。</w:t>
      </w:r>
    </w:p>
    <w:p w:rsidR="00B7387F" w:rsidRPr="00DD511B" w:rsidRDefault="003014D4" w:rsidP="00157761">
      <w:pPr>
        <w:ind w:firstLineChars="100" w:firstLine="210"/>
      </w:pPr>
      <w:r>
        <w:rPr>
          <w:rFonts w:hint="eastAsia"/>
        </w:rPr>
        <w:t>２点目は</w:t>
      </w:r>
      <w:r w:rsidR="001E699E">
        <w:rPr>
          <w:rFonts w:hint="eastAsia"/>
        </w:rPr>
        <w:t>、</w:t>
      </w:r>
      <w:r w:rsidR="005128C6">
        <w:rPr>
          <w:rFonts w:hint="eastAsia"/>
        </w:rPr>
        <w:t>大口顧客獲得の</w:t>
      </w:r>
      <w:r w:rsidR="00DD511B">
        <w:rPr>
          <w:rFonts w:hint="eastAsia"/>
        </w:rPr>
        <w:t>ための</w:t>
      </w:r>
      <w:r w:rsidR="007C084F">
        <w:rPr>
          <w:rFonts w:hint="eastAsia"/>
        </w:rPr>
        <w:t>更なる要因の存在の可能性の</w:t>
      </w:r>
      <w:r w:rsidR="00DD511B">
        <w:rPr>
          <w:rFonts w:hint="eastAsia"/>
        </w:rPr>
        <w:t>考察である。営業努力及びそれに伴う営業費用の増加が大口顧客獲得に有効であることを本研究で示すことができた</w:t>
      </w:r>
      <w:r w:rsidR="007C084F">
        <w:rPr>
          <w:rFonts w:hint="eastAsia"/>
        </w:rPr>
        <w:t>。</w:t>
      </w:r>
      <w:r w:rsidR="00DD511B">
        <w:rPr>
          <w:rFonts w:hint="eastAsia"/>
        </w:rPr>
        <w:t>一方でその決定係数が非常に小さいことを考慮すると</w:t>
      </w:r>
      <w:r w:rsidR="008D4AD7">
        <w:rPr>
          <w:rFonts w:hint="eastAsia"/>
        </w:rPr>
        <w:t>、大口顧客獲得に影響を与える要因がこれら以外に存在する可能性は高い。そのため、</w:t>
      </w:r>
      <w:r w:rsidR="007C084F">
        <w:rPr>
          <w:rFonts w:hint="eastAsia"/>
        </w:rPr>
        <w:t>今後はより影響力の大きい</w:t>
      </w:r>
      <w:r w:rsidR="00554BAE">
        <w:rPr>
          <w:rFonts w:hint="eastAsia"/>
        </w:rPr>
        <w:t>他の</w:t>
      </w:r>
      <w:r w:rsidR="007C084F">
        <w:rPr>
          <w:rFonts w:hint="eastAsia"/>
        </w:rPr>
        <w:t>要因の考察が必要であると考えられる。</w:t>
      </w:r>
    </w:p>
    <w:p w:rsidR="00B7387F" w:rsidRPr="000B65AE" w:rsidRDefault="00B7387F" w:rsidP="000E5A8F"/>
    <w:p w:rsidR="000E5A8F" w:rsidRPr="009D26DA" w:rsidRDefault="000E5A8F" w:rsidP="000E5A8F">
      <w:pPr>
        <w:rPr>
          <w:sz w:val="24"/>
        </w:rPr>
      </w:pPr>
      <w:r w:rsidRPr="009D26DA">
        <w:rPr>
          <w:rFonts w:hint="eastAsia"/>
          <w:sz w:val="24"/>
        </w:rPr>
        <w:t>謝辞</w:t>
      </w:r>
    </w:p>
    <w:p w:rsidR="000E5A8F" w:rsidRPr="0043453A" w:rsidRDefault="000E5A8F" w:rsidP="000E5A8F">
      <w:pPr>
        <w:rPr>
          <w:szCs w:val="21"/>
        </w:rPr>
      </w:pPr>
      <w:r>
        <w:rPr>
          <w:rFonts w:hint="eastAsia"/>
        </w:rPr>
        <w:t xml:space="preserve">　</w:t>
      </w:r>
      <w:r>
        <w:rPr>
          <w:rFonts w:hint="eastAsia"/>
          <w:szCs w:val="21"/>
        </w:rPr>
        <w:t>本論文の執筆にあたり、データ収集から分析手法や議論の整理に至るまで、指導教員の</w:t>
      </w:r>
      <w:r w:rsidRPr="0043453A">
        <w:rPr>
          <w:rFonts w:hint="eastAsia"/>
          <w:szCs w:val="21"/>
        </w:rPr>
        <w:t>戒能一成</w:t>
      </w:r>
      <w:r>
        <w:rPr>
          <w:rFonts w:hint="eastAsia"/>
          <w:szCs w:val="21"/>
        </w:rPr>
        <w:t>先生と松村敏弘先生から多大なご指導を頂いた。ここに改めて、深く御礼申し上げたい。なお、本稿で示した見解は全て筆者個人の見解であり、所属組織やご指導頂いた先生</w:t>
      </w:r>
      <w:r w:rsidRPr="006256E3">
        <w:rPr>
          <w:rFonts w:hint="eastAsia"/>
          <w:szCs w:val="21"/>
        </w:rPr>
        <w:t>の見解を示すものではない。また本稿にあり得る誤り、主張の一切の責任は全て筆者に帰するものである。</w:t>
      </w:r>
    </w:p>
    <w:p w:rsidR="000E5A8F" w:rsidRDefault="000E5A8F" w:rsidP="000E5A8F"/>
    <w:p w:rsidR="000E5A8F" w:rsidRPr="009D26DA" w:rsidRDefault="000E5A8F" w:rsidP="000E5A8F">
      <w:pPr>
        <w:rPr>
          <w:sz w:val="24"/>
        </w:rPr>
      </w:pPr>
      <w:r w:rsidRPr="009D26DA">
        <w:rPr>
          <w:rFonts w:hint="eastAsia"/>
          <w:sz w:val="24"/>
        </w:rPr>
        <w:lastRenderedPageBreak/>
        <w:t>参考文献</w:t>
      </w:r>
    </w:p>
    <w:p w:rsidR="000E5A8F" w:rsidRDefault="000E5A8F" w:rsidP="000E5A8F">
      <w:r w:rsidRPr="00C5708F">
        <w:rPr>
          <w:rFonts w:hint="eastAsia"/>
        </w:rPr>
        <w:t>戒能一成</w:t>
      </w:r>
      <w:r w:rsidRPr="00C5708F">
        <w:rPr>
          <w:rFonts w:hint="eastAsia"/>
        </w:rPr>
        <w:t>(2007)</w:t>
      </w:r>
      <w:r w:rsidRPr="00C5708F">
        <w:rPr>
          <w:rFonts w:hint="eastAsia"/>
        </w:rPr>
        <w:t>「都市ガス事業における「内々価格差」の定量的評価分析」</w:t>
      </w:r>
      <w:r w:rsidRPr="00C5708F">
        <w:rPr>
          <w:rFonts w:hint="eastAsia"/>
        </w:rPr>
        <w:t xml:space="preserve">RIETI Discussion </w:t>
      </w:r>
    </w:p>
    <w:p w:rsidR="000E5A8F" w:rsidRPr="00C5708F" w:rsidRDefault="000E5A8F" w:rsidP="000E5A8F">
      <w:pPr>
        <w:ind w:firstLineChars="100" w:firstLine="210"/>
      </w:pPr>
      <w:r w:rsidRPr="00C5708F">
        <w:rPr>
          <w:rFonts w:hint="eastAsia"/>
        </w:rPr>
        <w:t>Paper Series 08-J-001</w:t>
      </w:r>
    </w:p>
    <w:p w:rsidR="000E5A8F" w:rsidRDefault="000E5A8F" w:rsidP="000E5A8F">
      <w:r w:rsidRPr="00C5708F">
        <w:rPr>
          <w:rFonts w:hint="eastAsia"/>
        </w:rPr>
        <w:t>資源エネルギー庁『ガス事業年報』</w:t>
      </w:r>
    </w:p>
    <w:p w:rsidR="000E5A8F" w:rsidRDefault="000E5A8F" w:rsidP="000E5A8F">
      <w:r>
        <w:rPr>
          <w:rFonts w:hint="eastAsia"/>
        </w:rPr>
        <w:t>総務省『平成</w:t>
      </w:r>
      <w:r>
        <w:rPr>
          <w:rFonts w:hint="eastAsia"/>
        </w:rPr>
        <w:t>24</w:t>
      </w:r>
      <w:r>
        <w:rPr>
          <w:rFonts w:hint="eastAsia"/>
        </w:rPr>
        <w:t>年度</w:t>
      </w:r>
      <w:r>
        <w:rPr>
          <w:rFonts w:hint="eastAsia"/>
        </w:rPr>
        <w:t xml:space="preserve"> </w:t>
      </w:r>
      <w:r>
        <w:rPr>
          <w:rFonts w:hint="eastAsia"/>
        </w:rPr>
        <w:t>公営企業年鑑』</w:t>
      </w:r>
    </w:p>
    <w:p w:rsidR="000E5A8F" w:rsidRPr="00D8618A" w:rsidRDefault="000E5A8F" w:rsidP="000E5A8F">
      <w:pPr>
        <w:pStyle w:val="a5"/>
      </w:pPr>
      <w:r>
        <w:rPr>
          <w:rFonts w:hint="eastAsia"/>
        </w:rPr>
        <w:t>日本ガス協会『ガス事業便覧』平成</w:t>
      </w:r>
      <w:r>
        <w:rPr>
          <w:rFonts w:hint="eastAsia"/>
        </w:rPr>
        <w:t>24</w:t>
      </w:r>
      <w:r>
        <w:rPr>
          <w:rFonts w:hint="eastAsia"/>
        </w:rPr>
        <w:t>年度版</w:t>
      </w:r>
    </w:p>
    <w:p w:rsidR="00D568D7" w:rsidRDefault="00D568D7"/>
    <w:sectPr w:rsidR="00D568D7" w:rsidSect="00D568D7">
      <w:footerReference w:type="default" r:id="rId2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4C" w:rsidRDefault="000B5A4C" w:rsidP="000E5A8F">
      <w:r>
        <w:separator/>
      </w:r>
    </w:p>
  </w:endnote>
  <w:endnote w:type="continuationSeparator" w:id="0">
    <w:p w:rsidR="000B5A4C" w:rsidRDefault="000B5A4C" w:rsidP="000E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41728"/>
      <w:docPartObj>
        <w:docPartGallery w:val="Page Numbers (Bottom of Page)"/>
        <w:docPartUnique/>
      </w:docPartObj>
    </w:sdtPr>
    <w:sdtEndPr/>
    <w:sdtContent>
      <w:p w:rsidR="00D568D7" w:rsidRDefault="00D568D7">
        <w:pPr>
          <w:pStyle w:val="a3"/>
          <w:jc w:val="center"/>
        </w:pPr>
        <w:r>
          <w:fldChar w:fldCharType="begin"/>
        </w:r>
        <w:r>
          <w:instrText>PAGE   \* MERGEFORMAT</w:instrText>
        </w:r>
        <w:r>
          <w:fldChar w:fldCharType="separate"/>
        </w:r>
        <w:r w:rsidR="005F11E6" w:rsidRPr="005F11E6">
          <w:rPr>
            <w:noProof/>
            <w:lang w:val="ja-JP"/>
          </w:rPr>
          <w:t>16</w:t>
        </w:r>
        <w:r>
          <w:fldChar w:fldCharType="end"/>
        </w:r>
      </w:p>
    </w:sdtContent>
  </w:sdt>
  <w:p w:rsidR="00D568D7" w:rsidRDefault="00D568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4C" w:rsidRDefault="000B5A4C" w:rsidP="000E5A8F">
      <w:r>
        <w:separator/>
      </w:r>
    </w:p>
  </w:footnote>
  <w:footnote w:type="continuationSeparator" w:id="0">
    <w:p w:rsidR="000B5A4C" w:rsidRDefault="000B5A4C" w:rsidP="000E5A8F">
      <w:r>
        <w:continuationSeparator/>
      </w:r>
    </w:p>
  </w:footnote>
  <w:footnote w:id="1">
    <w:p w:rsidR="00D568D7" w:rsidRDefault="00D568D7" w:rsidP="000E5A8F">
      <w:pPr>
        <w:pStyle w:val="a5"/>
      </w:pPr>
      <w:r>
        <w:rPr>
          <w:rStyle w:val="a7"/>
        </w:rPr>
        <w:footnoteRef/>
      </w:r>
      <w:r>
        <w:rPr>
          <w:rFonts w:hint="eastAsia"/>
        </w:rPr>
        <w:t>日本ガス協会『ガス事業便覧』平成</w:t>
      </w:r>
      <w:r>
        <w:rPr>
          <w:rFonts w:hint="eastAsia"/>
        </w:rPr>
        <w:t>24</w:t>
      </w:r>
      <w:r>
        <w:rPr>
          <w:rFonts w:hint="eastAsia"/>
        </w:rPr>
        <w:t>年度版</w:t>
      </w:r>
    </w:p>
  </w:footnote>
  <w:footnote w:id="2">
    <w:p w:rsidR="00D568D7" w:rsidRPr="005B06E1" w:rsidRDefault="00D568D7" w:rsidP="000E5A8F">
      <w:pPr>
        <w:pStyle w:val="a5"/>
      </w:pPr>
      <w:r>
        <w:rPr>
          <w:rStyle w:val="a7"/>
        </w:rPr>
        <w:footnoteRef/>
      </w:r>
      <w:r>
        <w:rPr>
          <w:rFonts w:hint="eastAsia"/>
        </w:rPr>
        <w:t>総務省『平成</w:t>
      </w:r>
      <w:r>
        <w:rPr>
          <w:rFonts w:hint="eastAsia"/>
        </w:rPr>
        <w:t>24</w:t>
      </w:r>
      <w:r>
        <w:rPr>
          <w:rFonts w:hint="eastAsia"/>
        </w:rPr>
        <w:t>年度公営企業年鑑』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8F"/>
    <w:rsid w:val="000B2612"/>
    <w:rsid w:val="000B44F4"/>
    <w:rsid w:val="000B5A4C"/>
    <w:rsid w:val="000E5A8F"/>
    <w:rsid w:val="00157761"/>
    <w:rsid w:val="001E699E"/>
    <w:rsid w:val="00240896"/>
    <w:rsid w:val="00272915"/>
    <w:rsid w:val="003014D4"/>
    <w:rsid w:val="003B7FAA"/>
    <w:rsid w:val="005128C6"/>
    <w:rsid w:val="00533EF2"/>
    <w:rsid w:val="00554BAE"/>
    <w:rsid w:val="005F11E6"/>
    <w:rsid w:val="00660E4B"/>
    <w:rsid w:val="00663EDB"/>
    <w:rsid w:val="007834D8"/>
    <w:rsid w:val="007C084F"/>
    <w:rsid w:val="008D0391"/>
    <w:rsid w:val="008D4AD7"/>
    <w:rsid w:val="0098628D"/>
    <w:rsid w:val="00986AB6"/>
    <w:rsid w:val="00A41F25"/>
    <w:rsid w:val="00A44F5C"/>
    <w:rsid w:val="00A80D71"/>
    <w:rsid w:val="00AA2006"/>
    <w:rsid w:val="00AA4BCA"/>
    <w:rsid w:val="00B7387F"/>
    <w:rsid w:val="00BE4E55"/>
    <w:rsid w:val="00CB57E8"/>
    <w:rsid w:val="00D568D7"/>
    <w:rsid w:val="00D96822"/>
    <w:rsid w:val="00DD511B"/>
    <w:rsid w:val="00E30C1F"/>
    <w:rsid w:val="00EA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ECFBD-2783-4F5C-8F7F-1405058E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5A8F"/>
    <w:pPr>
      <w:tabs>
        <w:tab w:val="center" w:pos="4252"/>
        <w:tab w:val="right" w:pos="8504"/>
      </w:tabs>
      <w:snapToGrid w:val="0"/>
    </w:pPr>
  </w:style>
  <w:style w:type="character" w:customStyle="1" w:styleId="a4">
    <w:name w:val="フッター (文字)"/>
    <w:basedOn w:val="a0"/>
    <w:link w:val="a3"/>
    <w:uiPriority w:val="99"/>
    <w:rsid w:val="000E5A8F"/>
  </w:style>
  <w:style w:type="paragraph" w:styleId="a5">
    <w:name w:val="footnote text"/>
    <w:basedOn w:val="a"/>
    <w:link w:val="a6"/>
    <w:uiPriority w:val="99"/>
    <w:unhideWhenUsed/>
    <w:rsid w:val="000E5A8F"/>
    <w:pPr>
      <w:snapToGrid w:val="0"/>
      <w:jc w:val="left"/>
    </w:pPr>
  </w:style>
  <w:style w:type="character" w:customStyle="1" w:styleId="a6">
    <w:name w:val="脚注文字列 (文字)"/>
    <w:basedOn w:val="a0"/>
    <w:link w:val="a5"/>
    <w:uiPriority w:val="99"/>
    <w:rsid w:val="000E5A8F"/>
  </w:style>
  <w:style w:type="character" w:styleId="a7">
    <w:name w:val="footnote reference"/>
    <w:basedOn w:val="a0"/>
    <w:uiPriority w:val="99"/>
    <w:semiHidden/>
    <w:unhideWhenUsed/>
    <w:rsid w:val="000E5A8F"/>
    <w:rPr>
      <w:vertAlign w:val="superscript"/>
    </w:rPr>
  </w:style>
  <w:style w:type="table" w:styleId="a8">
    <w:name w:val="Table Grid"/>
    <w:basedOn w:val="a1"/>
    <w:uiPriority w:val="59"/>
    <w:rsid w:val="000E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5.png"/><Relationship Id="rId19"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1401</Words>
  <Characters>7986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假屋譲</dc:creator>
  <cp:keywords/>
  <dc:description/>
  <cp:lastModifiedBy>假屋譲</cp:lastModifiedBy>
  <cp:revision>26</cp:revision>
  <dcterms:created xsi:type="dcterms:W3CDTF">2015-02-27T07:56:00Z</dcterms:created>
  <dcterms:modified xsi:type="dcterms:W3CDTF">2015-02-27T09:22:00Z</dcterms:modified>
</cp:coreProperties>
</file>