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790C4" w14:textId="7CB959FC" w:rsidR="00E826DF" w:rsidRDefault="00E826DF" w:rsidP="00536E0F">
      <w:pPr>
        <w:jc w:val="center"/>
      </w:pPr>
    </w:p>
    <w:p w14:paraId="3D4F7278" w14:textId="77777777" w:rsidR="00E826DF" w:rsidRDefault="00E826DF" w:rsidP="00E826DF">
      <w:pPr>
        <w:jc w:val="center"/>
      </w:pPr>
    </w:p>
    <w:p w14:paraId="5F9C2C76" w14:textId="0562A42E" w:rsidR="00E826DF" w:rsidRDefault="00E826DF" w:rsidP="00E826DF">
      <w:pPr>
        <w:jc w:val="center"/>
      </w:pPr>
    </w:p>
    <w:p w14:paraId="34412F1C" w14:textId="43B91A11" w:rsidR="00E826DF" w:rsidRDefault="00E826DF" w:rsidP="00E826DF">
      <w:pPr>
        <w:jc w:val="center"/>
      </w:pPr>
    </w:p>
    <w:p w14:paraId="2F29D04C" w14:textId="7228D071" w:rsidR="00E826DF" w:rsidRDefault="00E826DF" w:rsidP="00E826DF">
      <w:pPr>
        <w:jc w:val="center"/>
      </w:pPr>
    </w:p>
    <w:p w14:paraId="22D18147" w14:textId="5A594EF1" w:rsidR="00E826DF" w:rsidRDefault="00E826DF" w:rsidP="00E826DF">
      <w:pPr>
        <w:jc w:val="center"/>
      </w:pPr>
    </w:p>
    <w:p w14:paraId="2F365EB3" w14:textId="53DBC920" w:rsidR="00E826DF" w:rsidRDefault="00E826DF" w:rsidP="00E826DF">
      <w:pPr>
        <w:jc w:val="center"/>
      </w:pPr>
    </w:p>
    <w:p w14:paraId="31BFB122" w14:textId="21FB3D65" w:rsidR="00E826DF" w:rsidRDefault="00E826DF" w:rsidP="00E826DF">
      <w:pPr>
        <w:jc w:val="center"/>
      </w:pPr>
    </w:p>
    <w:p w14:paraId="5BAF3AB0" w14:textId="508291A4" w:rsidR="00E826DF" w:rsidRDefault="00E826DF" w:rsidP="00E826DF">
      <w:pPr>
        <w:jc w:val="center"/>
      </w:pPr>
    </w:p>
    <w:p w14:paraId="70152B9C" w14:textId="77777777" w:rsidR="00E826DF" w:rsidRDefault="00E826DF" w:rsidP="00E826DF"/>
    <w:p w14:paraId="39059159" w14:textId="2BE732FF" w:rsidR="00AA378E" w:rsidRPr="00E826DF" w:rsidRDefault="00AA378E" w:rsidP="00E826DF">
      <w:pPr>
        <w:jc w:val="center"/>
        <w:rPr>
          <w:sz w:val="36"/>
        </w:rPr>
      </w:pPr>
      <w:r w:rsidRPr="00E826DF">
        <w:rPr>
          <w:rFonts w:hint="eastAsia"/>
          <w:sz w:val="36"/>
        </w:rPr>
        <w:t>エコカー市場の拡大と最適なガソリン税率の分析</w:t>
      </w:r>
    </w:p>
    <w:p w14:paraId="65754C13" w14:textId="391A8BF4" w:rsidR="00AA378E" w:rsidRPr="00E826DF" w:rsidRDefault="00AA378E" w:rsidP="00E826DF">
      <w:pPr>
        <w:jc w:val="center"/>
        <w:rPr>
          <w:sz w:val="36"/>
        </w:rPr>
      </w:pPr>
      <w:r w:rsidRPr="00E826DF">
        <w:rPr>
          <w:rFonts w:hint="eastAsia"/>
          <w:sz w:val="36"/>
        </w:rPr>
        <w:t>ミクロ事例研究前期報告書</w:t>
      </w:r>
    </w:p>
    <w:p w14:paraId="4A77EB94" w14:textId="759561BB" w:rsidR="00AA378E" w:rsidRDefault="00AA378E"/>
    <w:p w14:paraId="7ED34262" w14:textId="09A6A8C2" w:rsidR="00AA378E" w:rsidRDefault="00AA378E" w:rsidP="00E826DF">
      <w:pPr>
        <w:jc w:val="right"/>
      </w:pPr>
    </w:p>
    <w:p w14:paraId="59A4D764" w14:textId="021B8EAC" w:rsidR="00AA378E" w:rsidRDefault="00AA378E" w:rsidP="00E826DF">
      <w:pPr>
        <w:jc w:val="right"/>
      </w:pPr>
      <w:r>
        <w:rPr>
          <w:rFonts w:hint="eastAsia"/>
        </w:rPr>
        <w:t>東京大学公共政策大学院　経済政策コース</w:t>
      </w:r>
      <w:r>
        <w:t>2</w:t>
      </w:r>
      <w:r>
        <w:rPr>
          <w:rFonts w:hint="eastAsia"/>
        </w:rPr>
        <w:t>年　胡</w:t>
      </w:r>
    </w:p>
    <w:p w14:paraId="224CE50B" w14:textId="65E3E8BE" w:rsidR="00AA378E" w:rsidRDefault="00AA378E" w:rsidP="00E826DF">
      <w:pPr>
        <w:jc w:val="right"/>
      </w:pPr>
      <w:r>
        <w:rPr>
          <w:rFonts w:hint="eastAsia"/>
        </w:rPr>
        <w:t xml:space="preserve">　　　　　　　　　　　　経済政策コース1年　姜</w:t>
      </w:r>
    </w:p>
    <w:p w14:paraId="729CD50F" w14:textId="7D295982" w:rsidR="00AA378E" w:rsidRDefault="00AA378E" w:rsidP="00E826DF">
      <w:pPr>
        <w:jc w:val="right"/>
      </w:pPr>
      <w:r>
        <w:rPr>
          <w:rFonts w:hint="eastAsia"/>
        </w:rPr>
        <w:t xml:space="preserve">　　　　　　　　　　　　経済政策コース1年小杉</w:t>
      </w:r>
    </w:p>
    <w:p w14:paraId="365BC291" w14:textId="1E14C8F7" w:rsidR="00AA378E" w:rsidRDefault="00AA378E"/>
    <w:p w14:paraId="1E6E6E6B" w14:textId="77777777" w:rsidR="00AA378E" w:rsidRDefault="00AA378E"/>
    <w:p w14:paraId="4401A336" w14:textId="52623EEC" w:rsidR="00AA378E" w:rsidRDefault="00AA378E" w:rsidP="00712794">
      <w:pPr>
        <w:jc w:val="center"/>
      </w:pPr>
      <w:r>
        <w:rPr>
          <w:rFonts w:hint="eastAsia"/>
        </w:rPr>
        <w:t>平成29年8月6日</w:t>
      </w:r>
    </w:p>
    <w:p w14:paraId="1EAA8CA3" w14:textId="51227951" w:rsidR="009D211E" w:rsidRDefault="009D211E"/>
    <w:p w14:paraId="3294F1BE" w14:textId="170ACD48" w:rsidR="00802EA0" w:rsidRDefault="00802EA0"/>
    <w:p w14:paraId="14721308" w14:textId="7750E581" w:rsidR="00802EA0" w:rsidRDefault="00802EA0"/>
    <w:p w14:paraId="758190A1" w14:textId="0696599E" w:rsidR="00802EA0" w:rsidRDefault="00802EA0"/>
    <w:p w14:paraId="50F8AFE1" w14:textId="6F802E64" w:rsidR="00802EA0" w:rsidRDefault="00802EA0"/>
    <w:p w14:paraId="2380A27F" w14:textId="18E6B8D5" w:rsidR="00802EA0" w:rsidRDefault="00802EA0"/>
    <w:p w14:paraId="664D7CEC" w14:textId="45BE56C1" w:rsidR="00802EA0" w:rsidRDefault="00802EA0"/>
    <w:p w14:paraId="32130EF8" w14:textId="2032064E" w:rsidR="00802EA0" w:rsidRDefault="00802EA0"/>
    <w:p w14:paraId="3A289961" w14:textId="4290FD2C" w:rsidR="00802EA0" w:rsidRDefault="00802EA0"/>
    <w:p w14:paraId="4F4D6025" w14:textId="666E3924" w:rsidR="00802EA0" w:rsidRDefault="00802EA0"/>
    <w:p w14:paraId="2D9301C8" w14:textId="7BB8181D" w:rsidR="00802EA0" w:rsidRDefault="00802EA0"/>
    <w:p w14:paraId="60821528" w14:textId="79728CD9" w:rsidR="00802EA0" w:rsidRDefault="00802EA0"/>
    <w:p w14:paraId="3A92618F" w14:textId="1CB58730" w:rsidR="00802EA0" w:rsidRDefault="00802EA0"/>
    <w:p w14:paraId="7B1006EA" w14:textId="77777777" w:rsidR="00802EA0" w:rsidRDefault="00802EA0"/>
    <w:p w14:paraId="4DB3EA37" w14:textId="55F3661A" w:rsidR="00AA378E" w:rsidRPr="00DE1EE8" w:rsidRDefault="006B7C14">
      <w:pPr>
        <w:rPr>
          <w:b/>
        </w:rPr>
      </w:pPr>
      <w:r w:rsidRPr="00DE1EE8">
        <w:rPr>
          <w:rFonts w:hint="eastAsia"/>
          <w:b/>
        </w:rPr>
        <w:lastRenderedPageBreak/>
        <w:t>要旨</w:t>
      </w:r>
    </w:p>
    <w:p w14:paraId="418FD75C" w14:textId="56FF564D" w:rsidR="00802EA0" w:rsidRDefault="00B2461B">
      <w:r>
        <w:rPr>
          <w:rFonts w:hint="eastAsia"/>
        </w:rPr>
        <w:t xml:space="preserve">　パリ協定において、各国は2030年までのCO₂排出量抑制の目標値を設定した。その目標値達成のため、様々な環境政策が実施されている。その中で我々が注目したのはエコカー政策である。日本でも減税政策などを通じてエコカーの普及を促進している。エコカーは使用するガソリンが少ない、あるいは使用しないような自動車であり、そういった自動車が普及することは</w:t>
      </w:r>
      <w:r w:rsidR="00712794">
        <w:rPr>
          <w:rFonts w:hint="eastAsia"/>
        </w:rPr>
        <w:t>ひいてはガソリン需要が減少することにつながる。現在のところガソリンには揮発油税がかけられており、現在安定的なこの税収は将来的に不安定なものになることが予想できる。問題意識としては、将来的なガソリン税の最適水準はどの程度のものになりうるか、というものである。本研究では、エコカーの普及とガソリン需要量の変化に焦点を当てた。結論として、1970年代から1990年代のガソリン需給構造と1974年から2016年までのガソリン需給構造に大きな変動はないことが導出できた。これはエコカーの普及が未だ15％未満であることによるものと考えられる。</w:t>
      </w:r>
    </w:p>
    <w:p w14:paraId="1C9EA8A2" w14:textId="0DB80E78" w:rsidR="00802EA0" w:rsidRDefault="00802EA0"/>
    <w:p w14:paraId="690FCD3C" w14:textId="1E41671E" w:rsidR="00802EA0" w:rsidRDefault="00802EA0"/>
    <w:p w14:paraId="4E1DA817" w14:textId="66FC9E7C" w:rsidR="00802EA0" w:rsidRPr="00802EA0" w:rsidRDefault="00802EA0">
      <w:pPr>
        <w:rPr>
          <w:b/>
        </w:rPr>
      </w:pPr>
      <w:r w:rsidRPr="00802EA0">
        <w:rPr>
          <w:b/>
        </w:rPr>
        <w:t>Summary</w:t>
      </w:r>
    </w:p>
    <w:p w14:paraId="2FE4131A" w14:textId="574307D2" w:rsidR="009D211E" w:rsidRPr="00802EA0" w:rsidRDefault="009D211E">
      <w:pPr>
        <w:rPr>
          <w:rFonts w:asciiTheme="minorEastAsia" w:hAnsiTheme="minorEastAsia"/>
        </w:rPr>
      </w:pPr>
      <w:r>
        <w:rPr>
          <w:rFonts w:hint="eastAsia"/>
          <w:b/>
        </w:rPr>
        <w:tab/>
      </w:r>
      <w:r w:rsidRPr="00802EA0">
        <w:rPr>
          <w:rFonts w:asciiTheme="minorEastAsia" w:hAnsiTheme="minorEastAsia"/>
        </w:rPr>
        <w:t>In the Paris agreement, each countries has set targets for reduction of CO</w:t>
      </w:r>
      <w:r w:rsidRPr="00802EA0">
        <w:rPr>
          <w:rFonts w:asciiTheme="minorEastAsia" w:hAnsiTheme="minorEastAsia" w:hint="eastAsia"/>
        </w:rPr>
        <w:t>₂</w:t>
      </w:r>
      <w:r w:rsidR="00D13A94" w:rsidRPr="00802EA0">
        <w:rPr>
          <w:rFonts w:asciiTheme="minorEastAsia" w:hAnsiTheme="minorEastAsia"/>
        </w:rPr>
        <w:t xml:space="preserve"> e</w:t>
      </w:r>
      <w:r w:rsidRPr="00802EA0">
        <w:rPr>
          <w:rFonts w:asciiTheme="minorEastAsia" w:hAnsiTheme="minorEastAsia"/>
        </w:rPr>
        <w:t>mis</w:t>
      </w:r>
      <w:r w:rsidR="00D13A94" w:rsidRPr="00802EA0">
        <w:rPr>
          <w:rFonts w:asciiTheme="minorEastAsia" w:hAnsiTheme="minorEastAsia"/>
        </w:rPr>
        <w:t>s</w:t>
      </w:r>
      <w:r w:rsidRPr="00802EA0">
        <w:rPr>
          <w:rFonts w:asciiTheme="minorEastAsia" w:hAnsiTheme="minorEastAsia"/>
        </w:rPr>
        <w:t>ions by 2030</w:t>
      </w:r>
      <w:r w:rsidR="00D13A94" w:rsidRPr="00802EA0">
        <w:rPr>
          <w:rFonts w:asciiTheme="minorEastAsia" w:hAnsiTheme="minorEastAsia"/>
        </w:rPr>
        <w:t xml:space="preserve">. Various environmental policies are being implemented to achieve the target value. Among them, we focused on eco car policies. Japan also promoted the spread of eco cars through tax reduction policies. Eco cars are vehicles that does not use gas. Thus, the spread of such cars leads to a decrease in gasoline demand. As of now, the </w:t>
      </w:r>
      <w:r w:rsidR="00802EA0" w:rsidRPr="00802EA0">
        <w:rPr>
          <w:rFonts w:asciiTheme="minorEastAsia" w:hAnsiTheme="minorEastAsia" w:hint="eastAsia"/>
        </w:rPr>
        <w:t>government</w:t>
      </w:r>
      <w:r w:rsidR="00802EA0" w:rsidRPr="00802EA0">
        <w:rPr>
          <w:rFonts w:asciiTheme="minorEastAsia" w:hAnsiTheme="minorEastAsia"/>
        </w:rPr>
        <w:t xml:space="preserve"> </w:t>
      </w:r>
      <w:r w:rsidR="00802EA0" w:rsidRPr="00802EA0">
        <w:rPr>
          <w:rFonts w:asciiTheme="minorEastAsia" w:hAnsiTheme="minorEastAsia" w:hint="eastAsia"/>
        </w:rPr>
        <w:t>lay</w:t>
      </w:r>
      <w:r w:rsidR="00802EA0" w:rsidRPr="00802EA0">
        <w:rPr>
          <w:rFonts w:asciiTheme="minorEastAsia" w:hAnsiTheme="minorEastAsia"/>
        </w:rPr>
        <w:t xml:space="preserve"> a tax on</w:t>
      </w:r>
      <w:r w:rsidR="00D13A94" w:rsidRPr="00802EA0">
        <w:rPr>
          <w:rFonts w:asciiTheme="minorEastAsia" w:hAnsiTheme="minorEastAsia"/>
        </w:rPr>
        <w:t xml:space="preserve"> gasoline</w:t>
      </w:r>
      <w:r w:rsidR="00802EA0" w:rsidRPr="00802EA0">
        <w:rPr>
          <w:rFonts w:asciiTheme="minorEastAsia" w:hAnsiTheme="minorEastAsia"/>
        </w:rPr>
        <w:t xml:space="preserve">. The government think that this tax revenue is stable. However, </w:t>
      </w:r>
      <w:r w:rsidR="00D13A94" w:rsidRPr="00802EA0">
        <w:rPr>
          <w:rFonts w:asciiTheme="minorEastAsia" w:hAnsiTheme="minorEastAsia"/>
        </w:rPr>
        <w:t>i</w:t>
      </w:r>
      <w:r w:rsidR="00802EA0" w:rsidRPr="00802EA0">
        <w:rPr>
          <w:rFonts w:asciiTheme="minorEastAsia" w:hAnsiTheme="minorEastAsia"/>
        </w:rPr>
        <w:t xml:space="preserve">t will be </w:t>
      </w:r>
      <w:r w:rsidR="00D13A94" w:rsidRPr="00802EA0">
        <w:rPr>
          <w:rFonts w:asciiTheme="minorEastAsia" w:hAnsiTheme="minorEastAsia"/>
        </w:rPr>
        <w:t>unstable in the future</w:t>
      </w:r>
      <w:r w:rsidR="00802EA0" w:rsidRPr="00802EA0">
        <w:rPr>
          <w:rFonts w:asciiTheme="minorEastAsia" w:hAnsiTheme="minorEastAsia"/>
        </w:rPr>
        <w:t xml:space="preserve"> from above reasons. How</w:t>
      </w:r>
      <w:r w:rsidR="00D13A94" w:rsidRPr="00802EA0">
        <w:rPr>
          <w:rFonts w:asciiTheme="minorEastAsia" w:hAnsiTheme="minorEastAsia"/>
        </w:rPr>
        <w:t xml:space="preserve"> is the optimal level of gasoline tax in the future? In this research, we focused on the spread of eco cars and the change in gasoline demand. In conclusion, we can derive that there is no major change in the gasoline supply-demand structure from the 1970s to the 1990s and the gasoline supply-demand structure from 1974 to 2016. This is probably due to the fact that the spread of eco cars is still less than 15%.</w:t>
      </w:r>
    </w:p>
    <w:p w14:paraId="15E60D17" w14:textId="77777777" w:rsidR="009D211E" w:rsidRDefault="009D211E">
      <w:pPr>
        <w:rPr>
          <w:b/>
        </w:rPr>
      </w:pPr>
    </w:p>
    <w:p w14:paraId="141D07E5" w14:textId="77777777" w:rsidR="009D211E" w:rsidRDefault="009D211E">
      <w:pPr>
        <w:rPr>
          <w:b/>
        </w:rPr>
      </w:pPr>
    </w:p>
    <w:p w14:paraId="6A40C857" w14:textId="77777777" w:rsidR="009D211E" w:rsidRDefault="009D211E">
      <w:pPr>
        <w:rPr>
          <w:b/>
        </w:rPr>
      </w:pPr>
    </w:p>
    <w:p w14:paraId="45C78E8C" w14:textId="30E62DFA" w:rsidR="009D211E" w:rsidRDefault="009D211E">
      <w:pPr>
        <w:rPr>
          <w:b/>
        </w:rPr>
      </w:pPr>
    </w:p>
    <w:p w14:paraId="097EAA1D" w14:textId="5B50C94A" w:rsidR="00802EA0" w:rsidRDefault="00802EA0">
      <w:pPr>
        <w:rPr>
          <w:b/>
        </w:rPr>
      </w:pPr>
    </w:p>
    <w:p w14:paraId="454702E9" w14:textId="5047751E" w:rsidR="00802EA0" w:rsidRDefault="00802EA0">
      <w:pPr>
        <w:rPr>
          <w:b/>
        </w:rPr>
      </w:pPr>
    </w:p>
    <w:p w14:paraId="6064DCE2" w14:textId="187AB3E7" w:rsidR="00802EA0" w:rsidRDefault="00802EA0">
      <w:pPr>
        <w:rPr>
          <w:b/>
        </w:rPr>
      </w:pPr>
    </w:p>
    <w:p w14:paraId="36546AAD" w14:textId="5F8D4CCE" w:rsidR="00802EA0" w:rsidRDefault="00802EA0">
      <w:pPr>
        <w:rPr>
          <w:b/>
        </w:rPr>
      </w:pPr>
    </w:p>
    <w:p w14:paraId="4AC8727F" w14:textId="06DD4F0D" w:rsidR="00802EA0" w:rsidRDefault="00802EA0">
      <w:pPr>
        <w:rPr>
          <w:b/>
        </w:rPr>
      </w:pPr>
    </w:p>
    <w:p w14:paraId="4EE06E65" w14:textId="6352A770" w:rsidR="00802EA0" w:rsidRDefault="00802EA0">
      <w:pPr>
        <w:rPr>
          <w:b/>
        </w:rPr>
      </w:pPr>
    </w:p>
    <w:p w14:paraId="732A661C" w14:textId="52529915" w:rsidR="00335723" w:rsidRPr="0006285C" w:rsidRDefault="00BD1BF3">
      <w:pPr>
        <w:rPr>
          <w:b/>
        </w:rPr>
      </w:pPr>
      <w:r w:rsidRPr="0006285C">
        <w:rPr>
          <w:rFonts w:hint="eastAsia"/>
          <w:b/>
        </w:rPr>
        <w:lastRenderedPageBreak/>
        <w:t>はじめに</w:t>
      </w:r>
    </w:p>
    <w:p w14:paraId="5E0A91F1" w14:textId="028A4FF6" w:rsidR="005B476F" w:rsidRDefault="00BD1BF3">
      <w:r>
        <w:rPr>
          <w:rFonts w:hint="eastAsia"/>
        </w:rPr>
        <w:t xml:space="preserve">　2015年12月、国連気候変動枠組み条約第21回締約国会議において、2020年以降の地球温暖化対策の新枠組みである「パリ協定」が採択された。協定では、産業革命以前からの気温の上昇を2度未満に抑えることが目標として掲げられている。気温の上昇を抑えるため、各国は地球温暖化ガスであるCO₂排出量の削減を試みている。</w:t>
      </w:r>
      <w:r w:rsidR="008121C8">
        <w:rPr>
          <w:rFonts w:hint="eastAsia"/>
        </w:rPr>
        <w:t>以下は世界全体の国別CO</w:t>
      </w:r>
      <w:r w:rsidR="003257BC">
        <w:rPr>
          <w:rFonts w:hint="eastAsia"/>
        </w:rPr>
        <w:t>₂排出量と日本</w:t>
      </w:r>
      <w:r w:rsidR="008121C8">
        <w:rPr>
          <w:rFonts w:hint="eastAsia"/>
        </w:rPr>
        <w:t>の部門別CO</w:t>
      </w:r>
      <w:r w:rsidR="00CC4433">
        <w:rPr>
          <w:rFonts w:hint="eastAsia"/>
        </w:rPr>
        <w:t>₂排出量である。</w:t>
      </w:r>
    </w:p>
    <w:p w14:paraId="4795EB8F" w14:textId="77777777" w:rsidR="005B476F" w:rsidRDefault="005B476F"/>
    <w:p w14:paraId="47F0CBB8" w14:textId="2369355E" w:rsidR="005B476F" w:rsidRDefault="00063C1D" w:rsidP="00D62B09">
      <w:pPr>
        <w:keepNext/>
        <w:ind w:left="1680" w:hangingChars="800" w:hanging="1680"/>
      </w:pPr>
      <w:r>
        <w:pict w14:anchorId="35585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15pt;height:208.15pt">
            <v:imagedata r:id="rId8" o:title="chart03_01_img01"/>
          </v:shape>
        </w:pict>
      </w:r>
      <w:r w:rsidR="003257BC">
        <w:rPr>
          <w:noProof/>
        </w:rPr>
        <w:drawing>
          <wp:inline distT="0" distB="0" distL="0" distR="0" wp14:anchorId="79E788CC" wp14:editId="24BC9466">
            <wp:extent cx="2658745" cy="2658745"/>
            <wp:effectExtent l="0" t="0" r="8255" b="8255"/>
            <wp:docPr id="8" name="図 8" descr="chart04_04_im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04_04_img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745" cy="2658745"/>
                    </a:xfrm>
                    <a:prstGeom prst="rect">
                      <a:avLst/>
                    </a:prstGeom>
                    <a:noFill/>
                    <a:ln>
                      <a:noFill/>
                    </a:ln>
                  </pic:spPr>
                </pic:pic>
              </a:graphicData>
            </a:graphic>
          </wp:inline>
        </w:drawing>
      </w:r>
      <w:r w:rsidR="003257BC">
        <w:t xml:space="preserve">Figure </w:t>
      </w:r>
      <w:fldSimple w:instr=" SEQ Figure \* ARABIC ">
        <w:r w:rsidR="0006285C">
          <w:rPr>
            <w:noProof/>
          </w:rPr>
          <w:t>1</w:t>
        </w:r>
      </w:fldSimple>
      <w:r w:rsidR="003257BC">
        <w:rPr>
          <w:rFonts w:hint="eastAsia"/>
        </w:rPr>
        <w:t xml:space="preserve">                                </w:t>
      </w:r>
      <w:r w:rsidR="003257BC">
        <w:t xml:space="preserve">Figure </w:t>
      </w:r>
      <w:fldSimple w:instr=" SEQ Figure \* ARABIC ">
        <w:r w:rsidR="0006285C">
          <w:rPr>
            <w:noProof/>
          </w:rPr>
          <w:t>2</w:t>
        </w:r>
      </w:fldSimple>
    </w:p>
    <w:p w14:paraId="64A75990" w14:textId="6AE87B0D" w:rsidR="003257BC" w:rsidRPr="003257BC" w:rsidRDefault="005B476F">
      <w:pPr>
        <w:rPr>
          <w:sz w:val="16"/>
        </w:rPr>
      </w:pPr>
      <w:r>
        <w:rPr>
          <w:rFonts w:hint="eastAsia"/>
        </w:rPr>
        <w:t xml:space="preserve">　　　　　　　　　　　　　　　　　　　　　　　</w:t>
      </w:r>
      <w:r w:rsidRPr="005B476F">
        <w:rPr>
          <w:rFonts w:hint="eastAsia"/>
          <w:sz w:val="16"/>
        </w:rPr>
        <w:t>出典：全国地球温暖化防止活動推進センターHP</w:t>
      </w:r>
    </w:p>
    <w:p w14:paraId="50C6327A" w14:textId="6BA9C051" w:rsidR="008121C8" w:rsidRDefault="008121C8">
      <w:r>
        <w:rPr>
          <w:rFonts w:hint="eastAsia"/>
        </w:rPr>
        <w:t xml:space="preserve">　</w:t>
      </w:r>
      <w:r w:rsidR="003257BC">
        <w:rPr>
          <w:rFonts w:hint="eastAsia"/>
        </w:rPr>
        <w:t>日本の</w:t>
      </w:r>
      <w:r w:rsidR="007D0CA3">
        <w:rPr>
          <w:rFonts w:hint="eastAsia"/>
        </w:rPr>
        <w:t>CO₂</w:t>
      </w:r>
      <w:r w:rsidR="003257BC">
        <w:rPr>
          <w:rFonts w:hint="eastAsia"/>
        </w:rPr>
        <w:t>排出量全体の17%を占める</w:t>
      </w:r>
      <w:r>
        <w:rPr>
          <w:rFonts w:hint="eastAsia"/>
        </w:rPr>
        <w:t>運輸部門からのCO</w:t>
      </w:r>
      <w:r w:rsidR="005B476F">
        <w:rPr>
          <w:rFonts w:hint="eastAsia"/>
        </w:rPr>
        <w:t>₂排出量では、自動車からのものが大部分</w:t>
      </w:r>
      <w:r>
        <w:rPr>
          <w:rFonts w:hint="eastAsia"/>
        </w:rPr>
        <w:t>を占めており、CO₂排出量削減という目標を達成するうえでは、政府はこの自動車から排出されるCO</w:t>
      </w:r>
      <w:r w:rsidR="00914056">
        <w:rPr>
          <w:rFonts w:hint="eastAsia"/>
        </w:rPr>
        <w:t>₂の削減に向けて取り組みを進めている。特に最近</w:t>
      </w:r>
      <w:r>
        <w:rPr>
          <w:rFonts w:hint="eastAsia"/>
        </w:rPr>
        <w:t>はエコカーやEVの登場によって、自動車部門におけるCO</w:t>
      </w:r>
      <w:r w:rsidR="00914056">
        <w:rPr>
          <w:rFonts w:hint="eastAsia"/>
        </w:rPr>
        <w:t>₂排出量の大幅な削減に期待が寄せられており</w:t>
      </w:r>
      <w:r>
        <w:rPr>
          <w:rFonts w:hint="eastAsia"/>
        </w:rPr>
        <w:t>、政府も</w:t>
      </w:r>
      <w:r w:rsidR="00E70451">
        <w:rPr>
          <w:rFonts w:hint="eastAsia"/>
        </w:rPr>
        <w:t>エコカー減税やグリーン化特例</w:t>
      </w:r>
      <w:r w:rsidR="00914056">
        <w:rPr>
          <w:rFonts w:hint="eastAsia"/>
        </w:rPr>
        <w:t>といった制度を整えることでエコカーの普及を目指している。この取り組みは世界共通であり</w:t>
      </w:r>
      <w:r>
        <w:rPr>
          <w:rFonts w:hint="eastAsia"/>
        </w:rPr>
        <w:t>、例えばイギリスやフランスは2040年までに国内でのガソリン車とディーゼル車の販売を全面的に禁止し、EVへの完全移行を目指す政策をとっている。</w:t>
      </w:r>
    </w:p>
    <w:p w14:paraId="5E8B6436" w14:textId="72F24C93" w:rsidR="00F34878" w:rsidRDefault="008121C8">
      <w:r>
        <w:rPr>
          <w:rFonts w:hint="eastAsia"/>
        </w:rPr>
        <w:t xml:space="preserve">　ここで問題となってくるのがガソリン需要の問題である。エコカーやEVをはじめとする低燃費車が広く普及することは</w:t>
      </w:r>
      <w:r w:rsidR="00F34878">
        <w:rPr>
          <w:rFonts w:hint="eastAsia"/>
        </w:rPr>
        <w:t>、</w:t>
      </w:r>
      <w:r>
        <w:rPr>
          <w:rFonts w:hint="eastAsia"/>
        </w:rPr>
        <w:t>すなわちその燃料であるところのガソリン</w:t>
      </w:r>
      <w:r w:rsidR="00914056">
        <w:rPr>
          <w:rFonts w:hint="eastAsia"/>
        </w:rPr>
        <w:t>の</w:t>
      </w:r>
      <w:r>
        <w:rPr>
          <w:rFonts w:hint="eastAsia"/>
        </w:rPr>
        <w:t>需要が低下すると予測できる。</w:t>
      </w:r>
      <w:r w:rsidR="00914056">
        <w:rPr>
          <w:rFonts w:hint="eastAsia"/>
        </w:rPr>
        <w:t>現在我が国はガソリンに対して揮発油税</w:t>
      </w:r>
      <w:r w:rsidR="00F34878">
        <w:rPr>
          <w:rFonts w:hint="eastAsia"/>
        </w:rPr>
        <w:t>を課しており、安定的な税源となっている。しかしガソリン需要が低下すると予想される将来においては、揮発油税による税収は大幅に減少すると考えられる</w:t>
      </w:r>
      <w:r w:rsidR="00914056">
        <w:rPr>
          <w:rFonts w:hint="eastAsia"/>
        </w:rPr>
        <w:t>だろう</w:t>
      </w:r>
      <w:r w:rsidR="00F34878">
        <w:rPr>
          <w:rFonts w:hint="eastAsia"/>
        </w:rPr>
        <w:t>。</w:t>
      </w:r>
    </w:p>
    <w:p w14:paraId="2B087862" w14:textId="25F86F71" w:rsidR="00914056" w:rsidRPr="00333458" w:rsidRDefault="00F34878" w:rsidP="003805FB">
      <w:pPr>
        <w:ind w:firstLineChars="100" w:firstLine="210"/>
      </w:pPr>
      <w:r>
        <w:rPr>
          <w:rFonts w:hint="eastAsia"/>
        </w:rPr>
        <w:t>そこで本稿では、ガソリンの需給構造と価格弾力性が</w:t>
      </w:r>
      <w:r w:rsidR="00914056">
        <w:rPr>
          <w:rFonts w:hint="eastAsia"/>
        </w:rPr>
        <w:t>それぞれ</w:t>
      </w:r>
      <w:r>
        <w:rPr>
          <w:rFonts w:hint="eastAsia"/>
        </w:rPr>
        <w:t>変化しているか否かについて統計データを用いて実証的に分析し、その変化の度合いとエコカーの市場拡大の関係</w:t>
      </w:r>
      <w:r>
        <w:rPr>
          <w:rFonts w:hint="eastAsia"/>
        </w:rPr>
        <w:lastRenderedPageBreak/>
        <w:t>について考察を行う。</w:t>
      </w:r>
      <w:r w:rsidR="00333458">
        <w:rPr>
          <w:rFonts w:hint="eastAsia"/>
        </w:rPr>
        <w:t>一般的な</w:t>
      </w:r>
      <w:r w:rsidR="00D2675C">
        <w:rPr>
          <w:rFonts w:hint="eastAsia"/>
        </w:rPr>
        <w:t>エコカーの定義とは、次世代自動車振興センターウェブサイトにおける次世代自動車の</w:t>
      </w:r>
      <w:r w:rsidR="00333458">
        <w:rPr>
          <w:rFonts w:hint="eastAsia"/>
        </w:rPr>
        <w:t>定義を参照できるそこでは、ハイブリッド自動車、電気自動車、プラグインハイブリッド自動車、燃料電池自動車、クリーンディーゼル自動車等を次世代自動車と定めている。</w:t>
      </w:r>
      <w:r w:rsidR="00333458">
        <w:rPr>
          <w:rStyle w:val="a5"/>
        </w:rPr>
        <w:footnoteReference w:id="1"/>
      </w:r>
      <w:r w:rsidR="00333458">
        <w:rPr>
          <w:rFonts w:hint="eastAsia"/>
        </w:rPr>
        <w:t>本研究においてはその中でも特に普及率の高い、ハイブリット自動車と電気自動車、そしてプラグインハイブリッド自動車</w:t>
      </w:r>
      <w:r w:rsidR="00A83CD8">
        <w:rPr>
          <w:rFonts w:hint="eastAsia"/>
        </w:rPr>
        <w:t>の３種類に焦点を当てたい。</w:t>
      </w:r>
    </w:p>
    <w:p w14:paraId="6CE95CF1" w14:textId="209003D4" w:rsidR="00914056" w:rsidRPr="00914056" w:rsidRDefault="00F34878" w:rsidP="005B2431">
      <w:pPr>
        <w:ind w:firstLineChars="100" w:firstLine="210"/>
      </w:pPr>
      <w:r>
        <w:rPr>
          <w:rFonts w:hint="eastAsia"/>
        </w:rPr>
        <w:t>本研究の意義とは、エコカー市場の拡大がガソリン需要に及ぼす影響を定量的に把握することで、</w:t>
      </w:r>
      <w:r w:rsidR="00914056">
        <w:rPr>
          <w:rFonts w:hint="eastAsia"/>
        </w:rPr>
        <w:t>ガソリンの価格上昇によるCO₂ガス排出抑制効果や、将来的なガソリン税の最適水準</w:t>
      </w:r>
      <w:r w:rsidR="003805FB">
        <w:rPr>
          <w:rFonts w:hint="eastAsia"/>
        </w:rPr>
        <w:t>を実証的に求めることができる点にある。従来までの研究では、自動車の外部費用を用いたガソリン税の最適水準や、エコカー市場拡大による温室効果ガス抑制効果について統計データを用いて分</w:t>
      </w:r>
      <w:r w:rsidR="00914056">
        <w:rPr>
          <w:rFonts w:hint="eastAsia"/>
        </w:rPr>
        <w:t>析がそれぞれ独立して行われていた。本稿は両分野における研究結果を再検証・統合して分析を試みる点に独自性を求めることができる。</w:t>
      </w:r>
      <w:r w:rsidR="00333458">
        <w:rPr>
          <w:rFonts w:hint="eastAsia"/>
        </w:rPr>
        <w:t>なお、今回のレポートにおいては時間的な制約から、ガソリンの需給構造に軸足を置き、エコカー自体の平均燃費や平均走行距離などについては後期レポートにおいて十全な考察を行いたい。</w:t>
      </w:r>
    </w:p>
    <w:p w14:paraId="66B38C17" w14:textId="77777777" w:rsidR="005B2431" w:rsidRDefault="005B2431" w:rsidP="005B2431">
      <w:pPr>
        <w:ind w:firstLineChars="100" w:firstLine="210"/>
      </w:pPr>
    </w:p>
    <w:p w14:paraId="5AEB9922" w14:textId="7E88F1DC" w:rsidR="005B2431" w:rsidRDefault="003805FB" w:rsidP="005B2431">
      <w:pPr>
        <w:ind w:firstLineChars="100" w:firstLine="210"/>
      </w:pPr>
      <w:r>
        <w:rPr>
          <w:rFonts w:hint="eastAsia"/>
        </w:rPr>
        <w:t>最後に、本稿の構成を述べる。</w:t>
      </w:r>
    </w:p>
    <w:p w14:paraId="2780FE3D" w14:textId="7E95FBD8" w:rsidR="003043AD" w:rsidRDefault="003805FB" w:rsidP="005B2431">
      <w:pPr>
        <w:ind w:firstLineChars="100" w:firstLine="210"/>
      </w:pPr>
      <w:r>
        <w:rPr>
          <w:rFonts w:hint="eastAsia"/>
        </w:rPr>
        <w:t>第1章では、ガソリンを巡る国際情勢と環境問題、ならびに各国のエコカー施策について概観する。第2章においてはそうした現状を踏まえ、ガソリン価格やその弾力性が変化すると考える理由や、変化に伴うメリット、デメリットの整理を行う。</w:t>
      </w:r>
      <w:r w:rsidR="00E70451">
        <w:rPr>
          <w:rFonts w:hint="eastAsia"/>
        </w:rPr>
        <w:t>そしてそうしたガソリン価格を巡る動きが、税体系にどのような影響を及ぼすと考えられるのかという点について、制度的な枠組みから論じる。第3章においては実際にデータを用いて分析を行い、結果の解釈を行う。</w:t>
      </w:r>
    </w:p>
    <w:p w14:paraId="5057880B" w14:textId="78BA2109" w:rsidR="00724E14" w:rsidRDefault="00724E14" w:rsidP="00724E14">
      <w:pPr>
        <w:rPr>
          <w:rFonts w:hint="eastAsia"/>
        </w:rPr>
      </w:pPr>
    </w:p>
    <w:p w14:paraId="6EB059BF" w14:textId="400C9D1F" w:rsidR="00063C1D" w:rsidRDefault="00063C1D" w:rsidP="00724E14"/>
    <w:p w14:paraId="3EF49357" w14:textId="6F860CD9" w:rsidR="00063C1D" w:rsidRDefault="00063C1D" w:rsidP="00724E14"/>
    <w:p w14:paraId="04A7CA7C" w14:textId="52D29A5E" w:rsidR="00063C1D" w:rsidRDefault="00063C1D" w:rsidP="00724E14"/>
    <w:p w14:paraId="7478F11F" w14:textId="73763CB3" w:rsidR="00063C1D" w:rsidRDefault="00063C1D" w:rsidP="00724E14"/>
    <w:p w14:paraId="1A038F93" w14:textId="593FA57F" w:rsidR="00063C1D" w:rsidRDefault="00063C1D" w:rsidP="00724E14"/>
    <w:p w14:paraId="79BCD8AB" w14:textId="63D7666F" w:rsidR="00063C1D" w:rsidRDefault="00063C1D" w:rsidP="00724E14"/>
    <w:p w14:paraId="5981AF40" w14:textId="2AB83910" w:rsidR="00063C1D" w:rsidRDefault="00063C1D" w:rsidP="00724E14"/>
    <w:p w14:paraId="7871E357" w14:textId="427DA80B" w:rsidR="00063C1D" w:rsidRDefault="00063C1D" w:rsidP="00724E14"/>
    <w:p w14:paraId="69A48642" w14:textId="12DF4E87" w:rsidR="00063C1D" w:rsidRDefault="00063C1D" w:rsidP="00724E14"/>
    <w:p w14:paraId="49EAF812" w14:textId="5DD27B8D" w:rsidR="00063C1D" w:rsidRDefault="00063C1D" w:rsidP="00724E14">
      <w:pPr>
        <w:rPr>
          <w:rFonts w:hint="eastAsia"/>
        </w:rPr>
      </w:pPr>
    </w:p>
    <w:p w14:paraId="291AB620" w14:textId="77777777" w:rsidR="00063C1D" w:rsidRPr="0006285C" w:rsidRDefault="00063C1D" w:rsidP="00063C1D">
      <w:pPr>
        <w:pStyle w:val="af4"/>
        <w:numPr>
          <w:ilvl w:val="0"/>
          <w:numId w:val="1"/>
        </w:numPr>
        <w:ind w:leftChars="0"/>
        <w:rPr>
          <w:b/>
        </w:rPr>
      </w:pPr>
      <w:r w:rsidRPr="0006285C">
        <w:rPr>
          <w:rFonts w:hint="eastAsia"/>
          <w:b/>
        </w:rPr>
        <w:lastRenderedPageBreak/>
        <w:t>石油を巡る国際情勢</w:t>
      </w:r>
      <w:r>
        <w:rPr>
          <w:rFonts w:hint="eastAsia"/>
          <w:b/>
        </w:rPr>
        <w:t>と環境問題</w:t>
      </w:r>
    </w:p>
    <w:p w14:paraId="00C9A0C7" w14:textId="77777777" w:rsidR="00063C1D" w:rsidRPr="0006285C" w:rsidRDefault="00063C1D" w:rsidP="00063C1D">
      <w:pPr>
        <w:ind w:firstLineChars="100" w:firstLine="206"/>
        <w:rPr>
          <w:b/>
        </w:rPr>
      </w:pPr>
      <w:r>
        <w:rPr>
          <w:rFonts w:hint="eastAsia"/>
          <w:b/>
        </w:rPr>
        <w:t>1.1国際石油市場の動向</w:t>
      </w:r>
    </w:p>
    <w:p w14:paraId="522999C8" w14:textId="77777777" w:rsidR="00063C1D" w:rsidRDefault="00063C1D" w:rsidP="00063C1D">
      <w:pPr>
        <w:ind w:firstLineChars="100" w:firstLine="210"/>
      </w:pPr>
      <w:r>
        <w:rPr>
          <w:rFonts w:hint="eastAsia"/>
        </w:rPr>
        <w:t>石油は最大のエネルギー供給源として、人間社会に不可欠の資源であり、特に運輸部門での重要性は明らかである。従って、それを安定的かつ合理的な価格で利用することは市民生活や経済活動にとって重要な課題である。また、国際関係面から見ると、石油はマクロ経済へ大きな影響を与える一方、世界のパワーバランスを左右することもある。具体例としては太平洋戦争開戦のきっかけとなった米国による石油輸出の禁止や、中東戦争下での物価上昇といったことが挙げられる。</w:t>
      </w:r>
    </w:p>
    <w:p w14:paraId="20FD5CEF" w14:textId="77777777" w:rsidR="00063C1D" w:rsidRDefault="00063C1D" w:rsidP="00063C1D">
      <w:pPr>
        <w:ind w:firstLineChars="100" w:firstLine="210"/>
      </w:pPr>
      <w:r>
        <w:rPr>
          <w:rFonts w:hint="eastAsia"/>
        </w:rPr>
        <w:t>では、そうした原油、ガソリンは現在国際情勢の中でどのような状況下にあるのだろうか。</w:t>
      </w:r>
      <w:r>
        <w:t>IEA</w:t>
      </w:r>
      <w:r>
        <w:rPr>
          <w:rFonts w:hint="eastAsia"/>
        </w:rPr>
        <w:t>（</w:t>
      </w:r>
      <w:r w:rsidRPr="00594213">
        <w:rPr>
          <w:rFonts w:hint="eastAsia"/>
        </w:rPr>
        <w:t>国際エネルギー機関</w:t>
      </w:r>
      <w:r>
        <w:rPr>
          <w:rFonts w:hint="eastAsia"/>
        </w:rPr>
        <w:t>）の機関誌によれば、</w:t>
      </w:r>
      <w:r>
        <w:t>figure</w:t>
      </w:r>
      <w:r>
        <w:rPr>
          <w:rFonts w:hint="eastAsia"/>
        </w:rPr>
        <w:t>4は1976年以降の石油生産状況を示している。</w:t>
      </w:r>
      <w:r>
        <w:t>OPEC</w:t>
      </w:r>
      <w:r>
        <w:rPr>
          <w:rFonts w:hint="eastAsia"/>
        </w:rPr>
        <w:t>が段階的に生産量を伸ばし、2016年の石油生産量は約</w:t>
      </w:r>
      <w:r>
        <w:t>1</w:t>
      </w:r>
      <w:r>
        <w:rPr>
          <w:rFonts w:hint="eastAsia"/>
        </w:rPr>
        <w:t>億</w:t>
      </w:r>
      <w:r>
        <w:t>7500</w:t>
      </w:r>
      <w:r>
        <w:rPr>
          <w:rFonts w:hint="eastAsia"/>
        </w:rPr>
        <w:t>万トン以上である。非</w:t>
      </w:r>
      <w:r>
        <w:t>OPEC</w:t>
      </w:r>
      <w:r>
        <w:rPr>
          <w:rFonts w:hint="eastAsia"/>
        </w:rPr>
        <w:t>諸国も生産量を伸ばしており、</w:t>
      </w:r>
      <w:r>
        <w:t>OECD</w:t>
      </w:r>
      <w:r>
        <w:rPr>
          <w:rFonts w:hint="eastAsia"/>
        </w:rPr>
        <w:t>諸国では</w:t>
      </w:r>
      <w:r>
        <w:t>3.7</w:t>
      </w:r>
      <w:r>
        <w:rPr>
          <w:rFonts w:hint="eastAsia"/>
        </w:rPr>
        <w:t>％増、非</w:t>
      </w:r>
      <w:r>
        <w:t>OECD</w:t>
      </w:r>
      <w:r>
        <w:rPr>
          <w:rFonts w:hint="eastAsia"/>
        </w:rPr>
        <w:t>諸国では</w:t>
      </w:r>
      <w:r>
        <w:t>1.2</w:t>
      </w:r>
      <w:r>
        <w:rPr>
          <w:rFonts w:hint="eastAsia"/>
        </w:rPr>
        <w:t>％程度増加している。</w:t>
      </w:r>
    </w:p>
    <w:p w14:paraId="32E30282" w14:textId="77777777" w:rsidR="00063C1D" w:rsidRDefault="00063C1D" w:rsidP="00063C1D">
      <w:pPr>
        <w:keepNext/>
        <w:ind w:firstLineChars="100" w:firstLine="210"/>
      </w:pPr>
      <w:r w:rsidRPr="00F463F4">
        <w:rPr>
          <w:noProof/>
        </w:rPr>
        <w:drawing>
          <wp:inline distT="0" distB="0" distL="0" distR="0" wp14:anchorId="399CC646" wp14:editId="4E6F420C">
            <wp:extent cx="4550603" cy="3336966"/>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2283" cy="3345531"/>
                    </a:xfrm>
                    <a:prstGeom prst="rect">
                      <a:avLst/>
                    </a:prstGeom>
                  </pic:spPr>
                </pic:pic>
              </a:graphicData>
            </a:graphic>
          </wp:inline>
        </w:drawing>
      </w:r>
    </w:p>
    <w:p w14:paraId="49E40C38" w14:textId="77777777" w:rsidR="00063C1D" w:rsidRDefault="00063C1D" w:rsidP="00063C1D">
      <w:pPr>
        <w:pStyle w:val="af3"/>
        <w:jc w:val="center"/>
        <w:rPr>
          <w:noProof/>
        </w:rPr>
      </w:pPr>
      <w:r>
        <w:t xml:space="preserve">Figure </w:t>
      </w:r>
      <w:fldSimple w:instr=" SEQ Figure \* ARABIC ">
        <w:r>
          <w:rPr>
            <w:noProof/>
          </w:rPr>
          <w:t>1</w:t>
        </w:r>
      </w:fldSimple>
    </w:p>
    <w:p w14:paraId="4CB595C3" w14:textId="77777777" w:rsidR="00063C1D" w:rsidRPr="003C3BBB" w:rsidRDefault="00063C1D" w:rsidP="00063C1D">
      <w:pPr>
        <w:ind w:firstLineChars="100" w:firstLine="210"/>
      </w:pPr>
      <w:r>
        <w:rPr>
          <w:rFonts w:hint="eastAsia"/>
        </w:rPr>
        <w:t>現状において世界全体での需要量が増加している石油市場であるが、今後はどのような推移をたどると予測できるだろうか。</w:t>
      </w:r>
      <w:r>
        <w:t>IEA</w:t>
      </w:r>
      <w:r>
        <w:rPr>
          <w:rFonts w:hint="eastAsia"/>
        </w:rPr>
        <w:t>によると、需要面では、世界経済は着実に拡大しており、中国、インドなどの途上国を中心に石油需要は堅調に増大する一方、日本、</w:t>
      </w:r>
      <w:r>
        <w:t>EU</w:t>
      </w:r>
      <w:r>
        <w:rPr>
          <w:rFonts w:hint="eastAsia"/>
        </w:rPr>
        <w:t>などの先進国の石油需要は横ばいから減少傾向となるだろうと述べられている。</w:t>
      </w:r>
      <w:r>
        <w:rPr>
          <w:rStyle w:val="a5"/>
        </w:rPr>
        <w:footnoteReference w:id="2"/>
      </w:r>
    </w:p>
    <w:p w14:paraId="6D3F3660" w14:textId="77777777" w:rsidR="00063C1D" w:rsidRPr="00357199" w:rsidRDefault="00063C1D" w:rsidP="00063C1D"/>
    <w:p w14:paraId="2D15E73B" w14:textId="77777777" w:rsidR="00063C1D" w:rsidRPr="00635EE9" w:rsidRDefault="00063C1D" w:rsidP="00063C1D">
      <w:pPr>
        <w:rPr>
          <w:b/>
        </w:rPr>
      </w:pPr>
      <w:r>
        <w:rPr>
          <w:rFonts w:hint="eastAsia"/>
        </w:rPr>
        <w:lastRenderedPageBreak/>
        <w:t xml:space="preserve">　</w:t>
      </w:r>
      <w:r w:rsidRPr="00635EE9">
        <w:rPr>
          <w:b/>
        </w:rPr>
        <w:t xml:space="preserve">1.2 </w:t>
      </w:r>
      <w:r w:rsidRPr="00635EE9">
        <w:rPr>
          <w:rFonts w:hint="eastAsia"/>
          <w:b/>
        </w:rPr>
        <w:t>日本国内エネルギー需給構成・推移</w:t>
      </w:r>
    </w:p>
    <w:p w14:paraId="3C547AB5" w14:textId="77777777" w:rsidR="00063C1D" w:rsidRDefault="00063C1D" w:rsidP="00063C1D">
      <w:r>
        <w:rPr>
          <w:rFonts w:hint="eastAsia"/>
        </w:rPr>
        <w:t xml:space="preserve">　日本は世界中のエネルギー消費・輸入大国であり、石油消費と輸入は世界3位を占めている。一方、エネルギー供給の大宗は石油であり、2015年度のシャアは：石油45％、石炭25％、天然ガス22％、水力</w:t>
      </w:r>
      <w:r>
        <w:t>3.5%</w:t>
      </w:r>
      <w:r>
        <w:rPr>
          <w:rFonts w:hint="eastAsia"/>
        </w:rPr>
        <w:t>、新エネ</w:t>
      </w:r>
      <w:r>
        <w:t>4.2%</w:t>
      </w:r>
      <w:r>
        <w:rPr>
          <w:rFonts w:hint="eastAsia"/>
        </w:rPr>
        <w:t>、原子力</w:t>
      </w:r>
      <w:r>
        <w:t>0.4%</w:t>
      </w:r>
      <w:r>
        <w:rPr>
          <w:rFonts w:hint="eastAsia"/>
        </w:rPr>
        <w:t>等。また、エネルギー自給率は先進国最低の6％である。石油供給のほぼ全ては輸入に依存し、石油輸入における高い中東依存度は特徴である。</w:t>
      </w:r>
    </w:p>
    <w:p w14:paraId="0FF4350B" w14:textId="77777777" w:rsidR="00063C1D" w:rsidRPr="00635EE9" w:rsidRDefault="00063C1D" w:rsidP="00063C1D">
      <w:r>
        <w:rPr>
          <w:rFonts w:hint="eastAsia"/>
        </w:rPr>
        <w:t xml:space="preserve">　近年のエネルギー市場に目を向けると、</w:t>
      </w:r>
      <w:r w:rsidRPr="00AB1F15">
        <w:t xml:space="preserve">2017 </w:t>
      </w:r>
      <w:r>
        <w:t>年度</w:t>
      </w:r>
      <w:r>
        <w:rPr>
          <w:rFonts w:hint="eastAsia"/>
        </w:rPr>
        <w:t>は経済が回復傾向にあるものの</w:t>
      </w:r>
      <w:r>
        <w:t>、</w:t>
      </w:r>
      <w:r w:rsidRPr="00AB1F15">
        <w:t>一次</w:t>
      </w:r>
      <w:r>
        <w:rPr>
          <w:rFonts w:hint="eastAsia"/>
        </w:rPr>
        <w:t>エネルギー</w:t>
      </w:r>
      <w:r w:rsidRPr="00AB1F15">
        <w:t xml:space="preserve">供給は 4 </w:t>
      </w:r>
      <w:r>
        <w:t>年連続</w:t>
      </w:r>
      <w:r>
        <w:rPr>
          <w:rFonts w:hint="eastAsia"/>
        </w:rPr>
        <w:t>で</w:t>
      </w:r>
      <w:r w:rsidRPr="00AB1F15">
        <w:t>減少</w:t>
      </w:r>
      <w:r>
        <w:rPr>
          <w:rFonts w:hint="eastAsia"/>
        </w:rPr>
        <w:t>した。その中、</w:t>
      </w:r>
      <w:r w:rsidRPr="00AB1F15">
        <w:t>再生可能</w:t>
      </w:r>
      <w:r>
        <w:rPr>
          <w:rFonts w:hint="eastAsia"/>
        </w:rPr>
        <w:t>エネルギーの</w:t>
      </w:r>
      <w:r>
        <w:t>拡大、原子力再稼働によって、</w:t>
      </w:r>
      <w:r>
        <w:rPr>
          <w:rFonts w:hint="eastAsia"/>
        </w:rPr>
        <w:t>グリーンエネルギー</w:t>
      </w:r>
      <w:r>
        <w:t>へのシフト</w:t>
      </w:r>
      <w:r>
        <w:rPr>
          <w:rFonts w:hint="eastAsia"/>
        </w:rPr>
        <w:t>が</w:t>
      </w:r>
      <w:r w:rsidRPr="00AB1F15">
        <w:t>続く</w:t>
      </w:r>
      <w:r>
        <w:rPr>
          <w:rFonts w:hint="eastAsia"/>
        </w:rPr>
        <w:t>。</w:t>
      </w:r>
      <w:r w:rsidRPr="00AB1F15">
        <w:t>国内の</w:t>
      </w:r>
      <w:r>
        <w:rPr>
          <w:rFonts w:hint="eastAsia"/>
        </w:rPr>
        <w:t>エネルギー</w:t>
      </w:r>
      <w:r w:rsidRPr="00AB1F15">
        <w:t xml:space="preserve">販売に関しては、2017 </w:t>
      </w:r>
      <w:r>
        <w:t>年度は電力・</w:t>
      </w:r>
      <w:r>
        <w:rPr>
          <w:rFonts w:hint="eastAsia"/>
        </w:rPr>
        <w:t>ガ</w:t>
      </w:r>
      <w:r>
        <w:t>ス</w:t>
      </w:r>
      <w:r>
        <w:rPr>
          <w:rFonts w:hint="eastAsia"/>
        </w:rPr>
        <w:t>が</w:t>
      </w:r>
      <w:r w:rsidRPr="00AB1F15">
        <w:t xml:space="preserve"> 2 年連続</w:t>
      </w:r>
      <w:r>
        <w:rPr>
          <w:rFonts w:hint="eastAsia"/>
        </w:rPr>
        <w:t>で</w:t>
      </w:r>
      <w:r w:rsidRPr="00AB1F15">
        <w:t xml:space="preserve">増加となる一方、石油需要は 5 </w:t>
      </w:r>
      <w:r>
        <w:t>年連続</w:t>
      </w:r>
      <w:r>
        <w:rPr>
          <w:rFonts w:hint="eastAsia"/>
        </w:rPr>
        <w:t>で</w:t>
      </w:r>
      <w:r>
        <w:t>減少とな</w:t>
      </w:r>
      <w:r>
        <w:rPr>
          <w:rFonts w:hint="eastAsia"/>
        </w:rPr>
        <w:t>る</w:t>
      </w:r>
      <w:r>
        <w:rPr>
          <w:rStyle w:val="a5"/>
        </w:rPr>
        <w:footnoteReference w:id="3"/>
      </w:r>
      <w:r>
        <w:rPr>
          <w:rFonts w:hint="eastAsia"/>
        </w:rPr>
        <w:t>。</w:t>
      </w:r>
    </w:p>
    <w:p w14:paraId="26A39ED2" w14:textId="77777777" w:rsidR="00063C1D" w:rsidRPr="00657835" w:rsidRDefault="00063C1D" w:rsidP="00063C1D">
      <w:r>
        <w:rPr>
          <w:rFonts w:hint="eastAsia"/>
        </w:rPr>
        <w:t>ここまでの議論の中では、マクロな視点で石油需要の傾向を俯瞰した。Figure4で示されたのは1973年度〜2013年度の石油製品別需要の推移である。中では、ガソリンは石油製品の一つであり、主に運輸部門における自動車の燃料に活用されている。燃料油の中ガソリンが占める割合は1973年の</w:t>
      </w:r>
      <w:r>
        <w:t>11.6%</w:t>
      </w:r>
      <w:r>
        <w:rPr>
          <w:rFonts w:hint="eastAsia"/>
        </w:rPr>
        <w:t>から2013年の</w:t>
      </w:r>
      <w:r>
        <w:t>28.6%</w:t>
      </w:r>
      <w:r>
        <w:rPr>
          <w:rFonts w:hint="eastAsia"/>
        </w:rPr>
        <w:t>に増加した。</w:t>
      </w:r>
    </w:p>
    <w:p w14:paraId="6E109E20" w14:textId="77777777" w:rsidR="00063C1D" w:rsidRPr="00526577" w:rsidRDefault="00063C1D" w:rsidP="00063C1D">
      <w:pPr>
        <w:ind w:firstLineChars="100" w:firstLine="210"/>
      </w:pPr>
    </w:p>
    <w:p w14:paraId="0E8F288A" w14:textId="77777777" w:rsidR="00063C1D" w:rsidRDefault="00063C1D" w:rsidP="00063C1D">
      <w:pPr>
        <w:keepNext/>
        <w:ind w:firstLineChars="100" w:firstLine="210"/>
      </w:pPr>
      <w:r>
        <w:rPr>
          <w:noProof/>
        </w:rPr>
        <w:drawing>
          <wp:inline distT="0" distB="0" distL="0" distR="0" wp14:anchorId="1D459F4D" wp14:editId="12FD17C1">
            <wp:extent cx="5400040" cy="29343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7-08-03 22.21.47.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934335"/>
                    </a:xfrm>
                    <a:prstGeom prst="rect">
                      <a:avLst/>
                    </a:prstGeom>
                  </pic:spPr>
                </pic:pic>
              </a:graphicData>
            </a:graphic>
          </wp:inline>
        </w:drawing>
      </w:r>
    </w:p>
    <w:p w14:paraId="2512F3CD" w14:textId="77777777" w:rsidR="00063C1D" w:rsidRDefault="00063C1D" w:rsidP="00063C1D">
      <w:pPr>
        <w:pStyle w:val="af3"/>
        <w:jc w:val="center"/>
      </w:pPr>
      <w:r>
        <w:t xml:space="preserve">Figure </w:t>
      </w:r>
      <w:r>
        <w:rPr>
          <w:rFonts w:hint="eastAsia"/>
        </w:rPr>
        <w:t>4</w:t>
      </w:r>
    </w:p>
    <w:p w14:paraId="631FC5C1" w14:textId="77777777" w:rsidR="00063C1D" w:rsidRDefault="00063C1D" w:rsidP="00063C1D">
      <w:pPr>
        <w:ind w:firstLineChars="100" w:firstLine="210"/>
      </w:pPr>
    </w:p>
    <w:p w14:paraId="54F2657D" w14:textId="77777777" w:rsidR="00063C1D" w:rsidRPr="0006285C" w:rsidRDefault="00063C1D" w:rsidP="00063C1D">
      <w:pPr>
        <w:ind w:firstLineChars="100" w:firstLine="206"/>
        <w:rPr>
          <w:b/>
        </w:rPr>
      </w:pPr>
      <w:r>
        <w:rPr>
          <w:rFonts w:hint="eastAsia"/>
          <w:b/>
        </w:rPr>
        <w:t>1.3</w:t>
      </w:r>
      <w:r w:rsidRPr="0006285C">
        <w:rPr>
          <w:rFonts w:hint="eastAsia"/>
          <w:b/>
        </w:rPr>
        <w:t>国際的な環境問題への取組</w:t>
      </w:r>
    </w:p>
    <w:p w14:paraId="722C4738" w14:textId="77777777" w:rsidR="00063C1D" w:rsidRDefault="00063C1D" w:rsidP="00063C1D">
      <w:pPr>
        <w:ind w:firstLineChars="100" w:firstLine="210"/>
      </w:pPr>
      <w:r>
        <w:rPr>
          <w:rFonts w:hint="eastAsia"/>
        </w:rPr>
        <w:t>パリ協定における各国の削減目標は、まず</w:t>
      </w:r>
      <w:r w:rsidRPr="009E1D67">
        <w:rPr>
          <w:rFonts w:hint="eastAsia"/>
        </w:rPr>
        <w:t>日本</w:t>
      </w:r>
      <w:r>
        <w:rPr>
          <w:rFonts w:hint="eastAsia"/>
        </w:rPr>
        <w:t>で</w:t>
      </w:r>
      <w:r w:rsidRPr="009E1D67">
        <w:rPr>
          <w:rFonts w:hint="eastAsia"/>
        </w:rPr>
        <w:t>は、2030</w:t>
      </w:r>
      <w:r>
        <w:rPr>
          <w:rFonts w:hint="eastAsia"/>
        </w:rPr>
        <w:t>年度の温室効果ガスの排出を</w:t>
      </w:r>
      <w:r w:rsidRPr="009E1D67">
        <w:rPr>
          <w:rFonts w:hint="eastAsia"/>
        </w:rPr>
        <w:t>2013年度の水準から26%</w:t>
      </w:r>
      <w:r>
        <w:rPr>
          <w:rFonts w:hint="eastAsia"/>
        </w:rPr>
        <w:t>削減することとなっている</w:t>
      </w:r>
      <w:r w:rsidRPr="009E1D67">
        <w:rPr>
          <w:rFonts w:hint="eastAsia"/>
        </w:rPr>
        <w:t>。</w:t>
      </w:r>
      <w:r w:rsidRPr="008E1C23">
        <w:rPr>
          <w:rFonts w:hint="eastAsia"/>
        </w:rPr>
        <w:t>一方、</w:t>
      </w:r>
      <w:r w:rsidRPr="008E1C23">
        <w:t>EU</w:t>
      </w:r>
      <w:r w:rsidRPr="008E1C23">
        <w:rPr>
          <w:rFonts w:hint="eastAsia"/>
        </w:rPr>
        <w:t>は2030年に1990年と比</w:t>
      </w:r>
      <w:r w:rsidRPr="008E1C23">
        <w:rPr>
          <w:rFonts w:hint="eastAsia"/>
        </w:rPr>
        <w:lastRenderedPageBreak/>
        <w:t>べ40％を減少し、中国は2030年に</w:t>
      </w:r>
      <w:r w:rsidRPr="008E1C23">
        <w:t>CO2</w:t>
      </w:r>
      <w:r w:rsidRPr="008E1C23">
        <w:rPr>
          <w:rFonts w:hint="eastAsia"/>
        </w:rPr>
        <w:t>排出量の対</w:t>
      </w:r>
      <w:r w:rsidRPr="008E1C23">
        <w:t>GDP</w:t>
      </w:r>
      <w:r w:rsidRPr="008E1C23">
        <w:rPr>
          <w:rFonts w:hint="eastAsia"/>
        </w:rPr>
        <w:t>比を2005年と比べ60％</w:t>
      </w:r>
      <w:r w:rsidRPr="008E1C23">
        <w:t>~</w:t>
      </w:r>
      <w:r w:rsidRPr="008E1C23">
        <w:rPr>
          <w:rFonts w:hint="eastAsia"/>
        </w:rPr>
        <w:t>65</w:t>
      </w:r>
      <w:r>
        <w:rPr>
          <w:rFonts w:hint="eastAsia"/>
        </w:rPr>
        <w:t>％を削減するという目標を掲げている。</w:t>
      </w:r>
    </w:p>
    <w:p w14:paraId="27B5353E" w14:textId="77777777" w:rsidR="00063C1D" w:rsidRPr="00D25B09" w:rsidRDefault="00063C1D" w:rsidP="00063C1D">
      <w:pPr>
        <w:ind w:firstLineChars="100" w:firstLine="210"/>
        <w:rPr>
          <w:color w:val="000000" w:themeColor="text1"/>
        </w:rPr>
      </w:pPr>
      <w:r w:rsidRPr="00D25B09">
        <w:rPr>
          <w:rFonts w:hint="eastAsia"/>
          <w:color w:val="000000" w:themeColor="text1"/>
        </w:rPr>
        <w:t>そこで、</w:t>
      </w:r>
      <w:r>
        <w:rPr>
          <w:rFonts w:hint="eastAsia"/>
          <w:color w:val="000000" w:themeColor="text1"/>
        </w:rPr>
        <w:t>地球温暖化対策を総合的かつ計画的に推進するために、</w:t>
      </w:r>
      <w:r w:rsidRPr="00D25B09">
        <w:rPr>
          <w:rFonts w:hint="eastAsia"/>
          <w:color w:val="000000" w:themeColor="text1"/>
        </w:rPr>
        <w:t>「地球温暖化対策計画」</w:t>
      </w:r>
    </w:p>
    <w:p w14:paraId="6DC855C6" w14:textId="715E9BF3" w:rsidR="00063C1D" w:rsidRPr="00D25B09" w:rsidRDefault="00063C1D" w:rsidP="00063C1D">
      <w:pPr>
        <w:rPr>
          <w:color w:val="000000" w:themeColor="text1"/>
        </w:rPr>
      </w:pPr>
      <w:r>
        <w:rPr>
          <w:rFonts w:hint="eastAsia"/>
          <w:color w:val="000000" w:themeColor="text1"/>
        </w:rPr>
        <w:t>の閣議が決定された。中では、次世代自動車の普及と燃費改善という自動車単体対策と環状道路等のネットワークの強化、渋滞のピンポイン</w:t>
      </w:r>
      <w:r w:rsidR="00A83CD8">
        <w:rPr>
          <w:rFonts w:hint="eastAsia"/>
          <w:color w:val="000000" w:themeColor="text1"/>
        </w:rPr>
        <w:t>ト対策などの交通流対策を組み合わせる対策が行われている。</w:t>
      </w:r>
    </w:p>
    <w:p w14:paraId="398F8D5C" w14:textId="036AA3A1" w:rsidR="00063C1D" w:rsidRDefault="00063C1D" w:rsidP="00063C1D">
      <w:pPr>
        <w:ind w:firstLineChars="100" w:firstLine="210"/>
      </w:pPr>
      <w:r>
        <w:rPr>
          <w:rFonts w:hint="eastAsia"/>
        </w:rPr>
        <w:t>燃費を重視した次世代自動車としてはエコカーがその代名詞である</w:t>
      </w:r>
      <w:r w:rsidR="00D2675C">
        <w:rPr>
          <w:rFonts w:hint="eastAsia"/>
        </w:rPr>
        <w:t>。エコカーは有害な温室効果ガスの排出量が少ないことが特徴である。</w:t>
      </w:r>
      <w:r>
        <w:rPr>
          <w:rFonts w:hint="eastAsia"/>
        </w:rPr>
        <w:t>最近では</w:t>
      </w:r>
      <w:r>
        <w:t>HV</w:t>
      </w:r>
      <w:r>
        <w:rPr>
          <w:rFonts w:hint="eastAsia"/>
        </w:rPr>
        <w:t>（ハイブリッドカー）、</w:t>
      </w:r>
      <w:r>
        <w:t>PHV</w:t>
      </w:r>
      <w:r>
        <w:rPr>
          <w:rFonts w:hint="eastAsia"/>
        </w:rPr>
        <w:t>（</w:t>
      </w:r>
      <w:r w:rsidRPr="0028626F">
        <w:t>プラグインハイブリッドカー</w:t>
      </w:r>
      <w:r>
        <w:rPr>
          <w:rFonts w:hint="eastAsia"/>
        </w:rPr>
        <w:t>）、</w:t>
      </w:r>
      <w:r>
        <w:t>EV</w:t>
      </w:r>
      <w:r>
        <w:rPr>
          <w:rFonts w:hint="eastAsia"/>
        </w:rPr>
        <w:t>（電気自動車）、</w:t>
      </w:r>
      <w:r>
        <w:t>FCV</w:t>
      </w:r>
      <w:r w:rsidR="00D2675C">
        <w:rPr>
          <w:rFonts w:hint="eastAsia"/>
        </w:rPr>
        <w:t>（燃料電池車）が市場へ進出されている。</w:t>
      </w:r>
      <w:r>
        <w:rPr>
          <w:rFonts w:hint="eastAsia"/>
        </w:rPr>
        <w:t>以下の</w:t>
      </w:r>
      <w:r>
        <w:rPr>
          <w:rFonts w:ascii="SimSun" w:eastAsia="SimSun" w:hAnsi="SimSun" w:cs="SimSun" w:hint="eastAsia"/>
        </w:rPr>
        <w:t>図</w:t>
      </w:r>
      <w:r>
        <w:rPr>
          <w:rFonts w:hint="eastAsia"/>
        </w:rPr>
        <w:t>は富士経済が発表した世界の</w:t>
      </w:r>
      <w:r>
        <w:t>HV</w:t>
      </w:r>
      <w:r>
        <w:rPr>
          <w:rFonts w:hint="eastAsia"/>
        </w:rPr>
        <w:t>、</w:t>
      </w:r>
      <w:r>
        <w:t>PHV</w:t>
      </w:r>
      <w:r>
        <w:rPr>
          <w:rFonts w:hint="eastAsia"/>
        </w:rPr>
        <w:t>と</w:t>
      </w:r>
      <w:r>
        <w:t>EV</w:t>
      </w:r>
      <w:r>
        <w:rPr>
          <w:rFonts w:hint="eastAsia"/>
        </w:rPr>
        <w:t>の市場推移状況である。</w:t>
      </w:r>
      <w:r>
        <w:rPr>
          <w:rStyle w:val="a5"/>
        </w:rPr>
        <w:footnoteReference w:id="4"/>
      </w:r>
      <w:r>
        <w:rPr>
          <w:rFonts w:hint="eastAsia"/>
        </w:rPr>
        <w:t>図より、現在のエコカー市場の主流は電気とガソリンで走るハイブリッド自動車である一方、より環境負担の低い</w:t>
      </w:r>
      <w:r>
        <w:t>PHV</w:t>
      </w:r>
      <w:r>
        <w:rPr>
          <w:rFonts w:hint="eastAsia"/>
        </w:rPr>
        <w:t>や</w:t>
      </w:r>
      <w:r>
        <w:t>E</w:t>
      </w:r>
      <w:r>
        <w:rPr>
          <w:rFonts w:hint="eastAsia"/>
        </w:rPr>
        <w:t>Vの市場進出も進んでいる。2030年頃には、3車種の市場規模は</w:t>
      </w:r>
      <w:r w:rsidRPr="001F5C86">
        <w:rPr>
          <w:rFonts w:hint="eastAsia"/>
        </w:rPr>
        <w:t>拮抗</w:t>
      </w:r>
      <w:r>
        <w:rPr>
          <w:rFonts w:hint="eastAsia"/>
        </w:rPr>
        <w:t>すると見通した。</w:t>
      </w:r>
    </w:p>
    <w:p w14:paraId="532EC2C9" w14:textId="77777777" w:rsidR="00063C1D" w:rsidRPr="0008799B" w:rsidRDefault="00063C1D" w:rsidP="00063C1D">
      <w:pPr>
        <w:ind w:firstLineChars="100" w:firstLine="210"/>
      </w:pPr>
    </w:p>
    <w:p w14:paraId="43F373FC" w14:textId="77777777" w:rsidR="00063C1D" w:rsidRDefault="00063C1D" w:rsidP="00063C1D">
      <w:pPr>
        <w:keepNext/>
      </w:pPr>
      <w:r>
        <w:rPr>
          <w:noProof/>
        </w:rPr>
        <w:drawing>
          <wp:inline distT="0" distB="0" distL="0" distR="0" wp14:anchorId="1285053B" wp14:editId="1426722B">
            <wp:extent cx="5400040" cy="2635250"/>
            <wp:effectExtent l="0" t="0" r="1016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１.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2635250"/>
                    </a:xfrm>
                    <a:prstGeom prst="rect">
                      <a:avLst/>
                    </a:prstGeom>
                  </pic:spPr>
                </pic:pic>
              </a:graphicData>
            </a:graphic>
          </wp:inline>
        </w:drawing>
      </w:r>
    </w:p>
    <w:p w14:paraId="6DB551A7" w14:textId="77777777" w:rsidR="00063C1D" w:rsidRPr="005D70C8" w:rsidRDefault="00063C1D" w:rsidP="00063C1D">
      <w:pPr>
        <w:pStyle w:val="af3"/>
        <w:jc w:val="center"/>
      </w:pPr>
      <w:r>
        <w:t xml:space="preserve">Figure </w:t>
      </w:r>
      <w:r>
        <w:rPr>
          <w:rFonts w:hint="eastAsia"/>
        </w:rPr>
        <w:t>5</w:t>
      </w:r>
    </w:p>
    <w:p w14:paraId="600A5BF7" w14:textId="77777777" w:rsidR="00063C1D" w:rsidRPr="003257BC" w:rsidRDefault="00063C1D" w:rsidP="00063C1D">
      <w:pPr>
        <w:ind w:firstLineChars="100" w:firstLine="210"/>
      </w:pPr>
      <w:r w:rsidRPr="003257BC">
        <w:rPr>
          <w:rFonts w:hint="eastAsia"/>
        </w:rPr>
        <w:t>日本の「次世代自動車戦略2010</w:t>
      </w:r>
      <w:r>
        <w:rPr>
          <w:rFonts w:hint="eastAsia"/>
        </w:rPr>
        <w:t>」によると、次世代自動車の普及加増</w:t>
      </w:r>
      <w:r w:rsidRPr="003257BC">
        <w:rPr>
          <w:rFonts w:hint="eastAsia"/>
        </w:rPr>
        <w:t>のため、政府が目指すべき車種別の普及目標を設定した。具体的に、自動車全体の販売台数は2020年の乗用車の新車販売台数に占める割合は最大で50％、中では、ハイブリッド自動車が最大で30</w:t>
      </w:r>
      <w:r>
        <w:rPr>
          <w:rFonts w:hint="eastAsia"/>
        </w:rPr>
        <w:t>％を</w:t>
      </w:r>
      <w:r w:rsidRPr="003257BC">
        <w:rPr>
          <w:rFonts w:hint="eastAsia"/>
        </w:rPr>
        <w:t>占め、電気自動車は最大で20</w:t>
      </w:r>
      <w:r>
        <w:rPr>
          <w:rFonts w:hint="eastAsia"/>
        </w:rPr>
        <w:t>％を占める目標を</w:t>
      </w:r>
      <w:r w:rsidRPr="003257BC">
        <w:rPr>
          <w:rFonts w:hint="eastAsia"/>
        </w:rPr>
        <w:t>立てた</w:t>
      </w:r>
      <w:r w:rsidRPr="003257BC">
        <w:rPr>
          <w:rStyle w:val="a5"/>
        </w:rPr>
        <w:footnoteReference w:id="5"/>
      </w:r>
      <w:r w:rsidRPr="003257BC">
        <w:rPr>
          <w:rFonts w:hint="eastAsia"/>
        </w:rPr>
        <w:t>。この目標を実現するためには、</w:t>
      </w:r>
      <w:r w:rsidRPr="003257BC">
        <w:rPr>
          <w:rFonts w:hint="eastAsia"/>
        </w:rPr>
        <w:lastRenderedPageBreak/>
        <w:t>政府主</w:t>
      </w:r>
      <w:r>
        <w:rPr>
          <w:rFonts w:hint="eastAsia"/>
        </w:rPr>
        <w:t>導のエネルギー効率化の動きを作り出すことが必要だろう</w:t>
      </w:r>
      <w:r w:rsidRPr="003257BC">
        <w:rPr>
          <w:rFonts w:hint="eastAsia"/>
        </w:rPr>
        <w:t>。</w:t>
      </w:r>
    </w:p>
    <w:p w14:paraId="08770CF1" w14:textId="77777777" w:rsidR="00063C1D" w:rsidRDefault="00063C1D" w:rsidP="00063C1D">
      <w:pPr>
        <w:ind w:firstLineChars="100" w:firstLine="210"/>
      </w:pPr>
      <w:r w:rsidRPr="003257BC">
        <w:rPr>
          <w:rFonts w:hint="eastAsia"/>
        </w:rPr>
        <w:t>では、世界主要国の</w:t>
      </w:r>
      <w:r>
        <w:rPr>
          <w:rFonts w:hint="eastAsia"/>
        </w:rPr>
        <w:t>エコカー政策</w:t>
      </w:r>
      <w:r w:rsidRPr="003257BC">
        <w:rPr>
          <w:rFonts w:hint="eastAsia"/>
        </w:rPr>
        <w:t>はどのようになっているのであろう。米国では、連邦政府は次世代自動車に対する税額控除を行い、州政府においては、例えばカリファルニア州は最大で2500ドルの補助金を給付している</w:t>
      </w:r>
      <w:r w:rsidRPr="003257BC">
        <w:rPr>
          <w:rStyle w:val="a5"/>
        </w:rPr>
        <w:footnoteReference w:id="6"/>
      </w:r>
      <w:r w:rsidRPr="003257BC">
        <w:rPr>
          <w:rFonts w:hint="eastAsia"/>
        </w:rPr>
        <w:t>。そのほかにも多数の州が独自の支援策を実施している。ドイツ、フランス、イギリスも</w:t>
      </w:r>
      <w:r w:rsidRPr="003257BC">
        <w:t>EV</w:t>
      </w:r>
      <w:r w:rsidRPr="003257BC">
        <w:rPr>
          <w:rFonts w:hint="eastAsia"/>
        </w:rPr>
        <w:t>、</w:t>
      </w:r>
      <w:r w:rsidRPr="003257BC">
        <w:t>PHV</w:t>
      </w:r>
      <w:r w:rsidRPr="003257BC">
        <w:rPr>
          <w:rFonts w:hint="eastAsia"/>
        </w:rPr>
        <w:t>に対する導入補助を行っている。特に、イギリスやフランスにおいては2040年までにガソリン車の販売を段階的に禁止する政策をとっている。</w:t>
      </w:r>
      <w:r w:rsidRPr="003257BC">
        <w:rPr>
          <w:rStyle w:val="a5"/>
        </w:rPr>
        <w:footnoteReference w:id="7"/>
      </w:r>
      <w:r w:rsidRPr="003257BC">
        <w:rPr>
          <w:rFonts w:hint="eastAsia"/>
        </w:rPr>
        <w:t>日本では、エコカー購入の場合、購入時の自動車重量税と自動車取得税に対して、免除、減税が行われ</w:t>
      </w:r>
      <w:r>
        <w:rPr>
          <w:rFonts w:hint="eastAsia"/>
        </w:rPr>
        <w:t>ており、環境性能の良い車に買い替える時、補助金が給付される。経済産業省は「次世代自動車普及に向けた国の取組について」というレポート</w:t>
      </w:r>
      <w:r w:rsidRPr="003257BC">
        <w:rPr>
          <w:rFonts w:hint="eastAsia"/>
        </w:rPr>
        <w:t>のなかで、次世代自動車を2020年までに新車販売の50％に占めるという目標を達成するため、購入費用の支援、技術開発の支援、そして国際標準化の推進に力を入れると述べている</w:t>
      </w:r>
      <w:r w:rsidRPr="003257BC">
        <w:rPr>
          <w:rStyle w:val="a5"/>
        </w:rPr>
        <w:footnoteReference w:id="8"/>
      </w:r>
      <w:r w:rsidRPr="003257BC">
        <w:rPr>
          <w:rFonts w:hint="eastAsia"/>
        </w:rPr>
        <w:t>。</w:t>
      </w:r>
    </w:p>
    <w:p w14:paraId="5A3836D7" w14:textId="3E2493CD" w:rsidR="00063C1D" w:rsidRPr="00D24752" w:rsidRDefault="00A83CD8" w:rsidP="00063C1D">
      <w:pPr>
        <w:rPr>
          <w:rFonts w:hint="eastAsia"/>
        </w:rPr>
      </w:pPr>
      <w:r>
        <w:rPr>
          <w:rFonts w:hint="eastAsia"/>
        </w:rPr>
        <w:t xml:space="preserve">　</w:t>
      </w:r>
      <w:r w:rsidR="006E68E3">
        <w:rPr>
          <w:rFonts w:hint="eastAsia"/>
        </w:rPr>
        <w:t>エコカーのほかにも、</w:t>
      </w:r>
      <w:r>
        <w:rPr>
          <w:rFonts w:hint="eastAsia"/>
        </w:rPr>
        <w:t>自動車単体の燃費効率向上</w:t>
      </w:r>
      <w:r w:rsidR="006E68E3">
        <w:rPr>
          <w:rFonts w:hint="eastAsia"/>
        </w:rPr>
        <w:t>に資した政策として、トップランナー燃費規制制度が挙げられる。しかしながら本研究の眼目である、エコカーと最適なガソリン税水準の関係性を巡る調査においては、単体のエコカーの燃費向上というよりはむしろ、普及率に焦点を当てるべきと考える。よって本研究で焦点を当てる政策としては、</w:t>
      </w:r>
      <w:r w:rsidR="00C114D4">
        <w:rPr>
          <w:rFonts w:hint="eastAsia"/>
        </w:rPr>
        <w:t>消費者の消費行動に大きく影響する</w:t>
      </w:r>
      <w:r w:rsidR="006E68E3">
        <w:rPr>
          <w:rFonts w:hint="eastAsia"/>
        </w:rPr>
        <w:t>エコカー減税政策</w:t>
      </w:r>
      <w:r w:rsidR="00C114D4">
        <w:rPr>
          <w:rFonts w:hint="eastAsia"/>
        </w:rPr>
        <w:t>と取り上げる。</w:t>
      </w:r>
    </w:p>
    <w:p w14:paraId="5170530B" w14:textId="77777777" w:rsidR="00063C1D" w:rsidRPr="00063C1D" w:rsidRDefault="00063C1D" w:rsidP="00724E14">
      <w:pPr>
        <w:rPr>
          <w:rFonts w:hint="eastAsia"/>
        </w:rPr>
      </w:pPr>
    </w:p>
    <w:p w14:paraId="0762AC50" w14:textId="6F79263E" w:rsidR="0008799B" w:rsidRDefault="0008799B" w:rsidP="00063C1D">
      <w:pPr>
        <w:rPr>
          <w:rFonts w:hint="eastAsia"/>
        </w:rPr>
      </w:pPr>
    </w:p>
    <w:p w14:paraId="15BD06AC" w14:textId="4FEDBF2B" w:rsidR="0008799B" w:rsidRDefault="0008799B" w:rsidP="00063C1D"/>
    <w:p w14:paraId="6ECBC7A2" w14:textId="5202677D" w:rsidR="00063C1D" w:rsidRDefault="00063C1D" w:rsidP="00063C1D"/>
    <w:p w14:paraId="41490891" w14:textId="3A9D7EB0" w:rsidR="00063C1D" w:rsidRDefault="00063C1D" w:rsidP="00063C1D"/>
    <w:p w14:paraId="47120612" w14:textId="0AA9FD04" w:rsidR="00063C1D" w:rsidRDefault="00063C1D" w:rsidP="00063C1D"/>
    <w:p w14:paraId="365C3AF3" w14:textId="6D7644C9" w:rsidR="00063C1D" w:rsidRDefault="00063C1D" w:rsidP="00063C1D"/>
    <w:p w14:paraId="6D39C31C" w14:textId="2FB8C6DA" w:rsidR="00063C1D" w:rsidRDefault="00063C1D" w:rsidP="00063C1D"/>
    <w:p w14:paraId="5EB17415" w14:textId="70361F63" w:rsidR="00063C1D" w:rsidRDefault="00063C1D" w:rsidP="00063C1D"/>
    <w:p w14:paraId="675F0D1A" w14:textId="72DDBC9F" w:rsidR="00063C1D" w:rsidRDefault="00063C1D" w:rsidP="00063C1D"/>
    <w:p w14:paraId="3F9A1A92" w14:textId="74E4123E" w:rsidR="00063C1D" w:rsidRDefault="00063C1D" w:rsidP="00063C1D"/>
    <w:p w14:paraId="44175BB8" w14:textId="5F4B05C6" w:rsidR="00063C1D" w:rsidRPr="0008799B" w:rsidRDefault="00063C1D" w:rsidP="00063C1D">
      <w:pPr>
        <w:rPr>
          <w:rFonts w:hint="eastAsia"/>
        </w:rPr>
      </w:pPr>
    </w:p>
    <w:p w14:paraId="41ED663E" w14:textId="664B712A" w:rsidR="00E70451" w:rsidRDefault="00E70451" w:rsidP="00E70451">
      <w:pPr>
        <w:rPr>
          <w:b/>
        </w:rPr>
      </w:pPr>
      <w:r w:rsidRPr="00526577">
        <w:rPr>
          <w:rFonts w:hint="eastAsia"/>
          <w:b/>
        </w:rPr>
        <w:lastRenderedPageBreak/>
        <w:t>第</w:t>
      </w:r>
      <w:r w:rsidR="003043AD" w:rsidRPr="00526577">
        <w:rPr>
          <w:rFonts w:hint="eastAsia"/>
          <w:b/>
        </w:rPr>
        <w:t>２</w:t>
      </w:r>
      <w:r w:rsidRPr="00526577">
        <w:rPr>
          <w:rFonts w:hint="eastAsia"/>
          <w:b/>
        </w:rPr>
        <w:t>章問題意識</w:t>
      </w:r>
    </w:p>
    <w:p w14:paraId="774138FD" w14:textId="2A8999A8" w:rsidR="0006285C" w:rsidRPr="00526577" w:rsidRDefault="0006285C" w:rsidP="0006285C">
      <w:pPr>
        <w:ind w:firstLineChars="100" w:firstLine="206"/>
        <w:rPr>
          <w:b/>
        </w:rPr>
      </w:pPr>
      <w:r>
        <w:rPr>
          <w:rFonts w:hint="eastAsia"/>
          <w:b/>
        </w:rPr>
        <w:t>2.1ガソリン価格変化の影響</w:t>
      </w:r>
    </w:p>
    <w:p w14:paraId="77427A79" w14:textId="39557C81" w:rsidR="00D00050" w:rsidRDefault="00E24F96" w:rsidP="00D00050">
      <w:pPr>
        <w:ind w:firstLineChars="100" w:firstLine="210"/>
      </w:pPr>
      <w:r>
        <w:rPr>
          <w:rFonts w:hint="eastAsia"/>
        </w:rPr>
        <w:t>CO</w:t>
      </w:r>
      <w:r w:rsidR="007114E4">
        <w:rPr>
          <w:rFonts w:hint="eastAsia"/>
        </w:rPr>
        <w:t>₂排出量を抑制する手段として、エコカー認定制度</w:t>
      </w:r>
      <w:r>
        <w:rPr>
          <w:rFonts w:hint="eastAsia"/>
        </w:rPr>
        <w:t>のほかに、ガソリン価格の上昇による運転インセンティブの低下という手段がある。具体的な手段としては、ガソリン税率を上昇させ、ガソリン価格を引き上げることによって、</w:t>
      </w:r>
      <w:r w:rsidR="00A51A8A">
        <w:rPr>
          <w:rFonts w:hint="eastAsia"/>
        </w:rPr>
        <w:t>自動車を運転する動機を減らし、CO₂排出量を抑制するというものである</w:t>
      </w:r>
      <w:r w:rsidR="00D00050">
        <w:rPr>
          <w:rFonts w:hint="eastAsia"/>
        </w:rPr>
        <w:t>。</w:t>
      </w:r>
    </w:p>
    <w:p w14:paraId="6046BF0F" w14:textId="23317986" w:rsidR="00B17E05" w:rsidRDefault="00D00050" w:rsidP="00B17E05">
      <w:pPr>
        <w:ind w:firstLineChars="100" w:firstLine="210"/>
      </w:pPr>
      <w:r>
        <w:rPr>
          <w:rFonts w:hint="eastAsia"/>
        </w:rPr>
        <w:t>それらの政策手段のほかにも、現行で実施されている政策として、国土交通省のITC対策や経済産業省のトップランナー制度</w:t>
      </w:r>
      <w:r w:rsidR="00C63AB6">
        <w:rPr>
          <w:rFonts w:hint="eastAsia"/>
        </w:rPr>
        <w:t>、省エネ法などが挙げられる。その中でも上記の二つの政策に絞ったのは、</w:t>
      </w:r>
      <w:r w:rsidR="00B17E05">
        <w:rPr>
          <w:rFonts w:hint="eastAsia"/>
        </w:rPr>
        <w:t>エコカー認定制度とガソリン税制は政策対象として、国民全体の消費活動に比較的大きく影響すると考えられるからである。</w:t>
      </w:r>
    </w:p>
    <w:p w14:paraId="4B78283F" w14:textId="29E5C787" w:rsidR="008A220A" w:rsidRDefault="00A51A8A" w:rsidP="002C0067">
      <w:pPr>
        <w:ind w:firstLineChars="100" w:firstLine="210"/>
      </w:pPr>
      <w:r>
        <w:rPr>
          <w:rFonts w:hint="eastAsia"/>
        </w:rPr>
        <w:t>以下では、</w:t>
      </w:r>
      <w:r w:rsidR="00E24F96">
        <w:rPr>
          <w:rFonts w:hint="eastAsia"/>
        </w:rPr>
        <w:t>ガ</w:t>
      </w:r>
      <w:r w:rsidR="008A220A">
        <w:rPr>
          <w:rFonts w:hint="eastAsia"/>
        </w:rPr>
        <w:t>ソリン価格に影響を及ぼす要因を考察し、ガソリンの価格が変化することによる社会への影響について整理する。</w:t>
      </w:r>
    </w:p>
    <w:p w14:paraId="5BACDCEA" w14:textId="532FC92C" w:rsidR="00265EC9" w:rsidRDefault="002C0067" w:rsidP="00E70451">
      <w:r>
        <w:rPr>
          <w:rFonts w:hint="eastAsia"/>
        </w:rPr>
        <w:t xml:space="preserve">　原油価格の変動は国の経済事情に大きく影響することは自明であり、1973年、1978年のオイルショックや中東諸国における戦争、および</w:t>
      </w:r>
      <w:r w:rsidR="0093495A">
        <w:rPr>
          <w:rFonts w:hint="eastAsia"/>
        </w:rPr>
        <w:t>経済危機などの状況下においては原油価格のみならず、あらゆる産業に影響をもたらす。その中でもガソリン価格の上昇は、消費者セクターおよび産業セクターが自動車運転を控える要因になりうる。</w:t>
      </w:r>
      <w:r w:rsidR="00265EC9">
        <w:rPr>
          <w:rFonts w:hint="eastAsia"/>
        </w:rPr>
        <w:t>金本(</w:t>
      </w:r>
      <w:r w:rsidR="00265EC9">
        <w:t>2006</w:t>
      </w:r>
      <w:r w:rsidR="00265EC9">
        <w:rPr>
          <w:rFonts w:hint="eastAsia"/>
        </w:rPr>
        <w:t>)</w:t>
      </w:r>
      <w:r w:rsidR="00A51A8A">
        <w:rPr>
          <w:rFonts w:hint="eastAsia"/>
        </w:rPr>
        <w:t>では地球温暖化という</w:t>
      </w:r>
      <w:r w:rsidR="00265EC9">
        <w:rPr>
          <w:rFonts w:hint="eastAsia"/>
        </w:rPr>
        <w:t>外部不経済はもとより、大気汚染の外部</w:t>
      </w:r>
      <w:r w:rsidR="00A51A8A">
        <w:rPr>
          <w:rFonts w:hint="eastAsia"/>
        </w:rPr>
        <w:t>不経済、</w:t>
      </w:r>
      <w:r w:rsidR="00265EC9">
        <w:rPr>
          <w:rFonts w:hint="eastAsia"/>
        </w:rPr>
        <w:t>混雑費用</w:t>
      </w:r>
      <w:r w:rsidR="00A51A8A">
        <w:rPr>
          <w:rFonts w:hint="eastAsia"/>
        </w:rPr>
        <w:t>や</w:t>
      </w:r>
      <w:r w:rsidR="00265EC9">
        <w:rPr>
          <w:rFonts w:hint="eastAsia"/>
        </w:rPr>
        <w:t>、さらに</w:t>
      </w:r>
      <w:r w:rsidR="00A51A8A">
        <w:rPr>
          <w:rFonts w:hint="eastAsia"/>
        </w:rPr>
        <w:t>は</w:t>
      </w:r>
      <w:r w:rsidR="00265EC9">
        <w:rPr>
          <w:rFonts w:hint="eastAsia"/>
        </w:rPr>
        <w:t>交通事故などの外部</w:t>
      </w:r>
      <w:r w:rsidR="00A51A8A">
        <w:rPr>
          <w:rFonts w:hint="eastAsia"/>
        </w:rPr>
        <w:t>不</w:t>
      </w:r>
      <w:r w:rsidR="00265EC9">
        <w:rPr>
          <w:rFonts w:hint="eastAsia"/>
        </w:rPr>
        <w:t>経済が指摘されており、</w:t>
      </w:r>
      <w:r w:rsidR="00A51A8A">
        <w:rPr>
          <w:rFonts w:hint="eastAsia"/>
        </w:rPr>
        <w:t>そこで生じている</w:t>
      </w:r>
      <w:r w:rsidR="00265EC9">
        <w:rPr>
          <w:rFonts w:hint="eastAsia"/>
        </w:rPr>
        <w:t>社会的費用分を課税によって引き上げる必要があると考えられ</w:t>
      </w:r>
      <w:r w:rsidR="00EB395F">
        <w:rPr>
          <w:rFonts w:hint="eastAsia"/>
        </w:rPr>
        <w:t>ている</w:t>
      </w:r>
      <w:r w:rsidR="007114E4">
        <w:rPr>
          <w:rStyle w:val="a5"/>
        </w:rPr>
        <w:footnoteReference w:id="9"/>
      </w:r>
      <w:r w:rsidR="00265EC9">
        <w:rPr>
          <w:rFonts w:hint="eastAsia"/>
        </w:rPr>
        <w:t>。二村(</w:t>
      </w:r>
      <w:r w:rsidR="00265EC9">
        <w:t>1999</w:t>
      </w:r>
      <w:r w:rsidR="00265EC9">
        <w:rPr>
          <w:rFonts w:hint="eastAsia"/>
        </w:rPr>
        <w:t>)においても、CO₂排出量を抑制するために炭素税、つまり税金による価格の上乗せ施策の導入について考察を行っている</w:t>
      </w:r>
      <w:r w:rsidR="007114E4">
        <w:rPr>
          <w:rStyle w:val="a5"/>
        </w:rPr>
        <w:footnoteReference w:id="10"/>
      </w:r>
      <w:r w:rsidR="00265EC9">
        <w:rPr>
          <w:rFonts w:hint="eastAsia"/>
        </w:rPr>
        <w:t>。</w:t>
      </w:r>
    </w:p>
    <w:p w14:paraId="11A3E9A8" w14:textId="68AF9614" w:rsidR="00EB395F" w:rsidRDefault="00EB395F" w:rsidP="00E70451">
      <w:r>
        <w:rPr>
          <w:rFonts w:hint="eastAsia"/>
        </w:rPr>
        <w:t xml:space="preserve">　そうした、CO₂排出量抑制施策としての課税は、どの程度の水準が望ましいかという問いに対して川瀬(</w:t>
      </w:r>
      <w:r>
        <w:t>2008</w:t>
      </w:r>
      <w:r>
        <w:rPr>
          <w:rFonts w:hint="eastAsia"/>
        </w:rPr>
        <w:t>)では、先述の金本(</w:t>
      </w:r>
      <w:r>
        <w:t>2006</w:t>
      </w:r>
      <w:r>
        <w:rPr>
          <w:rFonts w:hint="eastAsia"/>
        </w:rPr>
        <w:t>)の外部費用を</w:t>
      </w:r>
      <w:r w:rsidR="00EE13D4">
        <w:rPr>
          <w:rFonts w:hint="eastAsia"/>
        </w:rPr>
        <w:t>援用し、最適なガソリン税率水準について研究を行っており、最適税率は現行のそれよりも高い水準になることが明らかにされている</w:t>
      </w:r>
      <w:r w:rsidR="007114E4">
        <w:rPr>
          <w:rStyle w:val="a5"/>
        </w:rPr>
        <w:footnoteReference w:id="11"/>
      </w:r>
      <w:r>
        <w:rPr>
          <w:rFonts w:hint="eastAsia"/>
        </w:rPr>
        <w:t>。</w:t>
      </w:r>
    </w:p>
    <w:p w14:paraId="6D58951F" w14:textId="469C5964" w:rsidR="00A51A8A" w:rsidRDefault="00EB395F" w:rsidP="00E70451">
      <w:r>
        <w:rPr>
          <w:rFonts w:hint="eastAsia"/>
        </w:rPr>
        <w:t xml:space="preserve">　しかしながら、柳澤(</w:t>
      </w:r>
      <w:r>
        <w:t>2007</w:t>
      </w:r>
      <w:r>
        <w:rPr>
          <w:rFonts w:hint="eastAsia"/>
        </w:rPr>
        <w:t>)においては、ガソリンの価格弾力性を推計し、固定価格弾性値は短期0.08、長期0.21</w:t>
      </w:r>
      <w:r w:rsidR="008B0492">
        <w:rPr>
          <w:rFonts w:hint="eastAsia"/>
        </w:rPr>
        <w:t>と計算し、</w:t>
      </w:r>
      <w:r>
        <w:rPr>
          <w:rFonts w:hint="eastAsia"/>
        </w:rPr>
        <w:t>可変価格弾性値は短期で0.06、長期で0.14</w:t>
      </w:r>
      <w:r w:rsidR="008B0492">
        <w:rPr>
          <w:rFonts w:hint="eastAsia"/>
        </w:rPr>
        <w:t>と算定している。これらの数値はいずれも非弾力的であると判断できる程度に小さいために、エネルギー価格の上昇による自動車利用控えによるCO₂排出量抑制効果ならびに、環境税のような制度に効果はないと結論付け</w:t>
      </w:r>
      <w:r w:rsidR="00A51A8A">
        <w:rPr>
          <w:rFonts w:hint="eastAsia"/>
        </w:rPr>
        <w:t>ている</w:t>
      </w:r>
      <w:r w:rsidR="007114E4">
        <w:rPr>
          <w:rStyle w:val="a5"/>
        </w:rPr>
        <w:footnoteReference w:id="12"/>
      </w:r>
      <w:r w:rsidR="00A51A8A">
        <w:rPr>
          <w:rFonts w:hint="eastAsia"/>
        </w:rPr>
        <w:t>。</w:t>
      </w:r>
    </w:p>
    <w:p w14:paraId="5847940B" w14:textId="7348BC77" w:rsidR="00921521" w:rsidRDefault="008B0492" w:rsidP="00A51A8A">
      <w:pPr>
        <w:ind w:firstLineChars="100" w:firstLine="210"/>
      </w:pPr>
      <w:r>
        <w:rPr>
          <w:rFonts w:hint="eastAsia"/>
        </w:rPr>
        <w:t>ここでの分析は</w:t>
      </w:r>
      <w:r w:rsidR="00A51A8A">
        <w:rPr>
          <w:rFonts w:hint="eastAsia"/>
        </w:rPr>
        <w:t>、</w:t>
      </w:r>
      <w:r>
        <w:rPr>
          <w:rFonts w:hint="eastAsia"/>
        </w:rPr>
        <w:t>価格弾力性の数値の多寡がCO</w:t>
      </w:r>
      <w:r w:rsidR="00A51A8A">
        <w:rPr>
          <w:rFonts w:hint="eastAsia"/>
        </w:rPr>
        <w:t>₂排出量抑制効果や環境税制度の効果の</w:t>
      </w:r>
      <w:r w:rsidR="00A51A8A">
        <w:rPr>
          <w:rFonts w:hint="eastAsia"/>
        </w:rPr>
        <w:lastRenderedPageBreak/>
        <w:t>有無を判断する基盤</w:t>
      </w:r>
      <w:r>
        <w:rPr>
          <w:rFonts w:hint="eastAsia"/>
        </w:rPr>
        <w:t>となっている。</w:t>
      </w:r>
      <w:r w:rsidR="007114E4">
        <w:rPr>
          <w:rFonts w:hint="eastAsia"/>
        </w:rPr>
        <w:t>しかしながら柳澤(</w:t>
      </w:r>
      <w:r w:rsidR="007114E4">
        <w:t>2007</w:t>
      </w:r>
      <w:r w:rsidR="007114E4">
        <w:rPr>
          <w:rFonts w:hint="eastAsia"/>
        </w:rPr>
        <w:t>)で</w:t>
      </w:r>
      <w:r w:rsidR="00EE13D4">
        <w:rPr>
          <w:rFonts w:hint="eastAsia"/>
        </w:rPr>
        <w:t>用いられたデータの期間は19</w:t>
      </w:r>
      <w:r w:rsidR="00EE13D4">
        <w:t>90</w:t>
      </w:r>
      <w:r w:rsidR="00EE13D4">
        <w:rPr>
          <w:rFonts w:hint="eastAsia"/>
        </w:rPr>
        <w:t>年から2006年までのもの</w:t>
      </w:r>
      <w:r w:rsidR="00B855DB">
        <w:rPr>
          <w:rFonts w:hint="eastAsia"/>
        </w:rPr>
        <w:t>であり、現在のエネルギー需要の動向を反映していない可能性が大きいと推察する。そこで我々は現在のガソリン価格弾力性を推計する以前の、需給構造の変化に焦点を当て、分析を行う。</w:t>
      </w:r>
    </w:p>
    <w:p w14:paraId="352E36F2" w14:textId="106AA513" w:rsidR="0006285C" w:rsidRPr="0006285C" w:rsidRDefault="0006285C" w:rsidP="00E70451">
      <w:pPr>
        <w:rPr>
          <w:b/>
        </w:rPr>
      </w:pPr>
      <w:r w:rsidRPr="0006285C">
        <w:rPr>
          <w:rFonts w:hint="eastAsia"/>
          <w:b/>
        </w:rPr>
        <w:t>2.2現行のガソリン税体系</w:t>
      </w:r>
    </w:p>
    <w:p w14:paraId="2AE798BC" w14:textId="52DE4C9E" w:rsidR="008A220A" w:rsidRDefault="00B855DB" w:rsidP="00E70451">
      <w:r>
        <w:rPr>
          <w:rFonts w:hint="eastAsia"/>
        </w:rPr>
        <w:t xml:space="preserve">　分析を行う上では、現行のガソリン税</w:t>
      </w:r>
      <w:r w:rsidR="00A51A8A">
        <w:rPr>
          <w:rFonts w:hint="eastAsia"/>
        </w:rPr>
        <w:t>制度</w:t>
      </w:r>
      <w:r>
        <w:rPr>
          <w:rFonts w:hint="eastAsia"/>
        </w:rPr>
        <w:t>とその供給量の推移について概観する。</w:t>
      </w:r>
    </w:p>
    <w:p w14:paraId="11DB2E7B" w14:textId="4046B12A" w:rsidR="007076BB" w:rsidRDefault="00054BFA" w:rsidP="00E70451">
      <w:r>
        <w:rPr>
          <w:rFonts w:hint="eastAsia"/>
        </w:rPr>
        <w:t xml:space="preserve">　</w:t>
      </w:r>
      <w:r w:rsidR="008A220A">
        <w:rPr>
          <w:rFonts w:hint="eastAsia"/>
        </w:rPr>
        <w:t>日本においてガソリン税率はどのように設定されているのだろうか。</w:t>
      </w:r>
      <w:r w:rsidR="007076BB">
        <w:rPr>
          <w:rFonts w:hint="eastAsia"/>
        </w:rPr>
        <w:t>ガソリン税とは正式には「揮発油税及び地方揮発油税」のことを指しており、財務省HPでは以下のように公開されている。</w:t>
      </w:r>
      <w:r w:rsidR="00EE13D4">
        <w:rPr>
          <w:rStyle w:val="a5"/>
        </w:rPr>
        <w:footnoteReference w:id="13"/>
      </w:r>
    </w:p>
    <w:p w14:paraId="2092D16B" w14:textId="77777777" w:rsidR="00335723" w:rsidRDefault="00335723" w:rsidP="00E70451"/>
    <w:tbl>
      <w:tblPr>
        <w:tblStyle w:val="a6"/>
        <w:tblW w:w="8642" w:type="dxa"/>
        <w:tblLook w:val="04A0" w:firstRow="1" w:lastRow="0" w:firstColumn="1" w:lastColumn="0" w:noHBand="0" w:noVBand="1"/>
      </w:tblPr>
      <w:tblGrid>
        <w:gridCol w:w="1205"/>
        <w:gridCol w:w="1204"/>
        <w:gridCol w:w="2406"/>
        <w:gridCol w:w="1261"/>
        <w:gridCol w:w="843"/>
        <w:gridCol w:w="846"/>
        <w:gridCol w:w="877"/>
      </w:tblGrid>
      <w:tr w:rsidR="00E63FCA" w:rsidRPr="00E63FCA" w14:paraId="5D5F8467" w14:textId="77777777" w:rsidTr="00E63FCA">
        <w:tc>
          <w:tcPr>
            <w:tcW w:w="1205" w:type="dxa"/>
          </w:tcPr>
          <w:p w14:paraId="3B78BA35" w14:textId="77777777" w:rsidR="00E63FCA" w:rsidRPr="00E63FCA" w:rsidRDefault="00E63FCA" w:rsidP="00E70451">
            <w:pPr>
              <w:rPr>
                <w:sz w:val="20"/>
              </w:rPr>
            </w:pPr>
            <w:r w:rsidRPr="00E63FCA">
              <w:rPr>
                <w:rFonts w:hint="eastAsia"/>
                <w:sz w:val="20"/>
              </w:rPr>
              <w:t>税目</w:t>
            </w:r>
          </w:p>
        </w:tc>
        <w:tc>
          <w:tcPr>
            <w:tcW w:w="1204" w:type="dxa"/>
          </w:tcPr>
          <w:p w14:paraId="218C4FE8" w14:textId="77777777" w:rsidR="00E63FCA" w:rsidRPr="00E63FCA" w:rsidRDefault="00E63FCA" w:rsidP="00E70451">
            <w:pPr>
              <w:rPr>
                <w:sz w:val="20"/>
              </w:rPr>
            </w:pPr>
            <w:r w:rsidRPr="00E63FCA">
              <w:rPr>
                <w:rFonts w:hint="eastAsia"/>
                <w:sz w:val="20"/>
              </w:rPr>
              <w:t>課税物件</w:t>
            </w:r>
          </w:p>
        </w:tc>
        <w:tc>
          <w:tcPr>
            <w:tcW w:w="2406" w:type="dxa"/>
          </w:tcPr>
          <w:p w14:paraId="1EE24A27" w14:textId="77777777" w:rsidR="00E63FCA" w:rsidRPr="00E63FCA" w:rsidRDefault="00E63FCA" w:rsidP="00E70451">
            <w:pPr>
              <w:rPr>
                <w:sz w:val="20"/>
              </w:rPr>
            </w:pPr>
            <w:r w:rsidRPr="00E63FCA">
              <w:rPr>
                <w:rFonts w:hint="eastAsia"/>
                <w:sz w:val="20"/>
              </w:rPr>
              <w:t>税率</w:t>
            </w:r>
          </w:p>
        </w:tc>
        <w:tc>
          <w:tcPr>
            <w:tcW w:w="1261" w:type="dxa"/>
          </w:tcPr>
          <w:p w14:paraId="6A438FF5" w14:textId="77777777" w:rsidR="00E63FCA" w:rsidRPr="00E63FCA" w:rsidRDefault="00E63FCA" w:rsidP="00E70451">
            <w:pPr>
              <w:rPr>
                <w:sz w:val="20"/>
              </w:rPr>
            </w:pPr>
            <w:r w:rsidRPr="00E63FCA">
              <w:rPr>
                <w:rFonts w:hint="eastAsia"/>
                <w:sz w:val="20"/>
              </w:rPr>
              <w:t>税収の使途</w:t>
            </w:r>
          </w:p>
        </w:tc>
        <w:tc>
          <w:tcPr>
            <w:tcW w:w="843" w:type="dxa"/>
          </w:tcPr>
          <w:p w14:paraId="3CF6A962" w14:textId="77777777" w:rsidR="00E63FCA" w:rsidRPr="00E63FCA" w:rsidRDefault="00E63FCA" w:rsidP="00E70451">
            <w:pPr>
              <w:rPr>
                <w:sz w:val="20"/>
              </w:rPr>
            </w:pPr>
            <w:r w:rsidRPr="00E63FCA">
              <w:rPr>
                <w:rFonts w:hint="eastAsia"/>
                <w:sz w:val="20"/>
              </w:rPr>
              <w:t>税収</w:t>
            </w:r>
          </w:p>
        </w:tc>
        <w:tc>
          <w:tcPr>
            <w:tcW w:w="846" w:type="dxa"/>
          </w:tcPr>
          <w:p w14:paraId="5DCCE659" w14:textId="77777777" w:rsidR="00E63FCA" w:rsidRPr="00E63FCA" w:rsidRDefault="00E63FCA" w:rsidP="00E70451">
            <w:pPr>
              <w:rPr>
                <w:sz w:val="20"/>
              </w:rPr>
            </w:pPr>
            <w:r w:rsidRPr="00E63FCA">
              <w:rPr>
                <w:rFonts w:hint="eastAsia"/>
                <w:sz w:val="20"/>
              </w:rPr>
              <w:t>国分</w:t>
            </w:r>
          </w:p>
        </w:tc>
        <w:tc>
          <w:tcPr>
            <w:tcW w:w="877" w:type="dxa"/>
          </w:tcPr>
          <w:p w14:paraId="18ADC4B1" w14:textId="77777777" w:rsidR="00E63FCA" w:rsidRPr="00E63FCA" w:rsidRDefault="00E63FCA" w:rsidP="00E70451">
            <w:pPr>
              <w:rPr>
                <w:sz w:val="20"/>
              </w:rPr>
            </w:pPr>
            <w:r w:rsidRPr="00E63FCA">
              <w:rPr>
                <w:rFonts w:hint="eastAsia"/>
                <w:sz w:val="20"/>
              </w:rPr>
              <w:t>地方分</w:t>
            </w:r>
          </w:p>
        </w:tc>
      </w:tr>
      <w:tr w:rsidR="00E63FCA" w14:paraId="39B95C35" w14:textId="77777777" w:rsidTr="00E63FCA">
        <w:tc>
          <w:tcPr>
            <w:tcW w:w="1205" w:type="dxa"/>
          </w:tcPr>
          <w:p w14:paraId="346755E9" w14:textId="77777777" w:rsidR="00E63FCA" w:rsidRDefault="00E63FCA" w:rsidP="00E70451">
            <w:r>
              <w:rPr>
                <w:rFonts w:hint="eastAsia"/>
              </w:rPr>
              <w:t>揮発油税</w:t>
            </w:r>
          </w:p>
        </w:tc>
        <w:tc>
          <w:tcPr>
            <w:tcW w:w="1204" w:type="dxa"/>
          </w:tcPr>
          <w:p w14:paraId="7B579419" w14:textId="77777777" w:rsidR="00E63FCA" w:rsidRDefault="00E63FCA" w:rsidP="00E70451">
            <w:r>
              <w:rPr>
                <w:rFonts w:hint="eastAsia"/>
              </w:rPr>
              <w:t>揮発油</w:t>
            </w:r>
          </w:p>
        </w:tc>
        <w:tc>
          <w:tcPr>
            <w:tcW w:w="2406" w:type="dxa"/>
          </w:tcPr>
          <w:p w14:paraId="69D975B8" w14:textId="77777777" w:rsidR="00E63FCA" w:rsidRDefault="00E63FCA" w:rsidP="00E70451">
            <w:r>
              <w:rPr>
                <w:rFonts w:hint="eastAsia"/>
              </w:rPr>
              <w:t>1キロリットルにつき　48,600円</w:t>
            </w:r>
          </w:p>
        </w:tc>
        <w:tc>
          <w:tcPr>
            <w:tcW w:w="1261" w:type="dxa"/>
          </w:tcPr>
          <w:p w14:paraId="568610C0" w14:textId="77777777" w:rsidR="00E63FCA" w:rsidRPr="00E63FCA" w:rsidRDefault="00E63FCA" w:rsidP="00E70451">
            <w:pPr>
              <w:rPr>
                <w:sz w:val="20"/>
              </w:rPr>
            </w:pPr>
            <w:r w:rsidRPr="00E63FCA">
              <w:rPr>
                <w:rFonts w:hint="eastAsia"/>
                <w:sz w:val="20"/>
              </w:rPr>
              <w:t>国の一般財源である。</w:t>
            </w:r>
          </w:p>
        </w:tc>
        <w:tc>
          <w:tcPr>
            <w:tcW w:w="843" w:type="dxa"/>
          </w:tcPr>
          <w:p w14:paraId="703D67B8" w14:textId="77777777" w:rsidR="00E63FCA" w:rsidRDefault="00E63FCA" w:rsidP="00E70451">
            <w:r>
              <w:rPr>
                <w:rFonts w:hint="eastAsia"/>
              </w:rPr>
              <w:t>23,860億円</w:t>
            </w:r>
          </w:p>
        </w:tc>
        <w:tc>
          <w:tcPr>
            <w:tcW w:w="846" w:type="dxa"/>
          </w:tcPr>
          <w:p w14:paraId="7EC0F31A" w14:textId="77777777" w:rsidR="00E63FCA" w:rsidRDefault="00E63FCA" w:rsidP="00E70451">
            <w:r>
              <w:rPr>
                <w:rFonts w:hint="eastAsia"/>
              </w:rPr>
              <w:t>23,860億円</w:t>
            </w:r>
          </w:p>
        </w:tc>
        <w:tc>
          <w:tcPr>
            <w:tcW w:w="877" w:type="dxa"/>
          </w:tcPr>
          <w:p w14:paraId="4B3B36FD" w14:textId="77777777" w:rsidR="00E63FCA" w:rsidRDefault="00E63FCA" w:rsidP="00E70451">
            <w:r>
              <w:rPr>
                <w:rFonts w:hint="eastAsia"/>
              </w:rPr>
              <w:t>－</w:t>
            </w:r>
          </w:p>
        </w:tc>
      </w:tr>
      <w:tr w:rsidR="00E63FCA" w14:paraId="5700D122" w14:textId="77777777" w:rsidTr="00E63FCA">
        <w:tc>
          <w:tcPr>
            <w:tcW w:w="1205" w:type="dxa"/>
          </w:tcPr>
          <w:p w14:paraId="17131DFF" w14:textId="77777777" w:rsidR="00E63FCA" w:rsidRDefault="00E63FCA" w:rsidP="00E70451">
            <w:r>
              <w:rPr>
                <w:rFonts w:hint="eastAsia"/>
              </w:rPr>
              <w:t>地方揮発油税</w:t>
            </w:r>
          </w:p>
        </w:tc>
        <w:tc>
          <w:tcPr>
            <w:tcW w:w="1204" w:type="dxa"/>
          </w:tcPr>
          <w:p w14:paraId="537270B7" w14:textId="77777777" w:rsidR="00E63FCA" w:rsidRDefault="00E63FCA" w:rsidP="00E70451">
            <w:r>
              <w:rPr>
                <w:rFonts w:hint="eastAsia"/>
              </w:rPr>
              <w:t>揮発油</w:t>
            </w:r>
          </w:p>
        </w:tc>
        <w:tc>
          <w:tcPr>
            <w:tcW w:w="2406" w:type="dxa"/>
          </w:tcPr>
          <w:p w14:paraId="685AF558" w14:textId="77777777" w:rsidR="00E63FCA" w:rsidRDefault="00E63FCA" w:rsidP="00E70451">
            <w:r>
              <w:rPr>
                <w:rFonts w:hint="eastAsia"/>
              </w:rPr>
              <w:t>1キロリットルにつき 5,200円</w:t>
            </w:r>
          </w:p>
        </w:tc>
        <w:tc>
          <w:tcPr>
            <w:tcW w:w="1261" w:type="dxa"/>
          </w:tcPr>
          <w:p w14:paraId="04831B25" w14:textId="77777777" w:rsidR="00E63FCA" w:rsidRPr="00E63FCA" w:rsidRDefault="00E63FCA" w:rsidP="00E70451">
            <w:pPr>
              <w:rPr>
                <w:sz w:val="20"/>
              </w:rPr>
            </w:pPr>
            <w:r w:rsidRPr="00E63FCA">
              <w:rPr>
                <w:rFonts w:hint="eastAsia"/>
                <w:sz w:val="20"/>
              </w:rPr>
              <w:t>都道府県及び市町村の一般財源として全額譲与されている。</w:t>
            </w:r>
          </w:p>
        </w:tc>
        <w:tc>
          <w:tcPr>
            <w:tcW w:w="843" w:type="dxa"/>
          </w:tcPr>
          <w:p w14:paraId="34B51CAE" w14:textId="77777777" w:rsidR="00E63FCA" w:rsidRDefault="00E63FCA" w:rsidP="00E70451">
            <w:r>
              <w:rPr>
                <w:rFonts w:hint="eastAsia"/>
              </w:rPr>
              <w:t>2,553億円</w:t>
            </w:r>
          </w:p>
        </w:tc>
        <w:tc>
          <w:tcPr>
            <w:tcW w:w="846" w:type="dxa"/>
          </w:tcPr>
          <w:p w14:paraId="231A0891" w14:textId="77777777" w:rsidR="00E63FCA" w:rsidRDefault="00E63FCA" w:rsidP="00E70451">
            <w:r>
              <w:rPr>
                <w:rFonts w:hint="eastAsia"/>
              </w:rPr>
              <w:t>－</w:t>
            </w:r>
          </w:p>
        </w:tc>
        <w:tc>
          <w:tcPr>
            <w:tcW w:w="877" w:type="dxa"/>
          </w:tcPr>
          <w:p w14:paraId="38C775D9" w14:textId="77777777" w:rsidR="00E63FCA" w:rsidRDefault="00E63FCA" w:rsidP="0006285C">
            <w:pPr>
              <w:keepNext/>
            </w:pPr>
            <w:r>
              <w:rPr>
                <w:rFonts w:hint="eastAsia"/>
              </w:rPr>
              <w:t>2,553億円</w:t>
            </w:r>
          </w:p>
        </w:tc>
      </w:tr>
    </w:tbl>
    <w:p w14:paraId="1877FC1A" w14:textId="6635A562" w:rsidR="0006285C" w:rsidRDefault="0006285C" w:rsidP="0006285C">
      <w:pPr>
        <w:pStyle w:val="af3"/>
        <w:jc w:val="center"/>
      </w:pPr>
      <w:r>
        <w:t xml:space="preserve">Table </w:t>
      </w:r>
      <w:fldSimple w:instr=" SEQ Table \* ARABIC ">
        <w:r>
          <w:rPr>
            <w:noProof/>
          </w:rPr>
          <w:t>1</w:t>
        </w:r>
      </w:fldSimple>
      <w:r w:rsidR="002C70BB">
        <w:rPr>
          <w:rFonts w:hint="eastAsia"/>
        </w:rPr>
        <w:t xml:space="preserve">　揮発税および地方揮発油税</w:t>
      </w:r>
    </w:p>
    <w:p w14:paraId="5563F43F" w14:textId="77777777" w:rsidR="007076BB" w:rsidRDefault="00E63FCA" w:rsidP="00E70451">
      <w:r>
        <w:rPr>
          <w:rFonts w:hint="eastAsia"/>
        </w:rPr>
        <w:t xml:space="preserve">　　　　　　　　　　　　　　　　　　　　　　　　　　　　　　　　　　</w:t>
      </w:r>
      <w:r w:rsidRPr="00E63FCA">
        <w:rPr>
          <w:rFonts w:hint="eastAsia"/>
          <w:sz w:val="14"/>
        </w:rPr>
        <w:t>財務省HPより作成</w:t>
      </w:r>
    </w:p>
    <w:p w14:paraId="5E2FE34D" w14:textId="1757B84A" w:rsidR="006A0AAC" w:rsidRDefault="00335723" w:rsidP="006A0AAC">
      <w:pPr>
        <w:ind w:firstLineChars="100" w:firstLine="210"/>
      </w:pPr>
      <w:r>
        <w:rPr>
          <w:rFonts w:hint="eastAsia"/>
        </w:rPr>
        <w:t>加えて、2012年より「地球温暖化対策税」が導入されており、環境負荷に応じて課税されており、2016年度からはCO₂1トンあたり289円が上乗せされている。</w:t>
      </w:r>
      <w:r>
        <w:rPr>
          <w:rStyle w:val="a5"/>
        </w:rPr>
        <w:footnoteReference w:id="14"/>
      </w:r>
    </w:p>
    <w:p w14:paraId="1B45BA7D" w14:textId="29C4B9D4" w:rsidR="006A0AAC" w:rsidRDefault="006A0AAC" w:rsidP="006A0AAC">
      <w:pPr>
        <w:ind w:firstLineChars="100" w:firstLine="210"/>
      </w:pPr>
      <w:r>
        <w:rPr>
          <w:rFonts w:hint="eastAsia"/>
        </w:rPr>
        <w:t>過去に揮発油税はどのような推移をたどってきたのだろうか。</w:t>
      </w:r>
      <w:r w:rsidR="004D1379">
        <w:rPr>
          <w:rFonts w:hint="eastAsia"/>
        </w:rPr>
        <w:t>以下は石油連盟のレポート「今日の石油産業2016」で示された、</w:t>
      </w:r>
      <w:r w:rsidR="003E79D6">
        <w:rPr>
          <w:rFonts w:hint="eastAsia"/>
        </w:rPr>
        <w:t>石油危機以降の石油製品に対する個別間接税率の推移である。</w:t>
      </w:r>
    </w:p>
    <w:p w14:paraId="7B19B2E2" w14:textId="3340CD61" w:rsidR="003E79D6" w:rsidRDefault="003E79D6" w:rsidP="006A0AAC">
      <w:pPr>
        <w:ind w:firstLineChars="100" w:firstLine="210"/>
      </w:pPr>
      <w:r w:rsidRPr="003E79D6">
        <w:rPr>
          <w:rFonts w:hint="eastAsia"/>
          <w:noProof/>
        </w:rPr>
        <w:lastRenderedPageBreak/>
        <w:drawing>
          <wp:inline distT="0" distB="0" distL="0" distR="0" wp14:anchorId="75130938" wp14:editId="619AB173">
            <wp:extent cx="4702288" cy="4090988"/>
            <wp:effectExtent l="0" t="0" r="3175"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6014" cy="4111630"/>
                    </a:xfrm>
                    <a:prstGeom prst="rect">
                      <a:avLst/>
                    </a:prstGeom>
                    <a:noFill/>
                    <a:ln>
                      <a:noFill/>
                    </a:ln>
                  </pic:spPr>
                </pic:pic>
              </a:graphicData>
            </a:graphic>
          </wp:inline>
        </w:drawing>
      </w:r>
    </w:p>
    <w:p w14:paraId="5813C812" w14:textId="23BB61A4" w:rsidR="003E79D6" w:rsidRPr="003E79D6" w:rsidRDefault="003E79D6" w:rsidP="003E79D6">
      <w:pPr>
        <w:ind w:firstLineChars="100" w:firstLine="140"/>
        <w:jc w:val="right"/>
        <w:rPr>
          <w:rFonts w:hint="eastAsia"/>
          <w:sz w:val="14"/>
        </w:rPr>
      </w:pPr>
      <w:r w:rsidRPr="003E79D6">
        <w:rPr>
          <w:rFonts w:hint="eastAsia"/>
          <w:sz w:val="14"/>
        </w:rPr>
        <w:t>石油連盟「今日の石油産業2016」より抜粋</w:t>
      </w:r>
    </w:p>
    <w:p w14:paraId="23AE66BB" w14:textId="743BD239" w:rsidR="00A51A8A" w:rsidRDefault="00921521" w:rsidP="003E79D6">
      <w:pPr>
        <w:ind w:firstLineChars="100" w:firstLine="210"/>
        <w:rPr>
          <w:rFonts w:hint="eastAsia"/>
        </w:rPr>
      </w:pPr>
      <w:r>
        <w:rPr>
          <w:rFonts w:hint="eastAsia"/>
        </w:rPr>
        <w:t>次に、日本国内におけるガソリン消費量の推移を確認する。</w:t>
      </w:r>
    </w:p>
    <w:p w14:paraId="410BD774" w14:textId="77777777" w:rsidR="0006285C" w:rsidRDefault="00921521" w:rsidP="0006285C">
      <w:pPr>
        <w:keepNext/>
        <w:ind w:firstLineChars="100" w:firstLine="210"/>
      </w:pPr>
      <w:r w:rsidRPr="00921521">
        <w:rPr>
          <w:noProof/>
        </w:rPr>
        <w:drawing>
          <wp:inline distT="0" distB="0" distL="0" distR="0" wp14:anchorId="0905698D" wp14:editId="571674E3">
            <wp:extent cx="5347823" cy="3265715"/>
            <wp:effectExtent l="0" t="0" r="5715" b="0"/>
            <wp:docPr id="333" name="Shape 333" descr="4.jpg"/>
            <wp:cNvGraphicFramePr/>
            <a:graphic xmlns:a="http://schemas.openxmlformats.org/drawingml/2006/main">
              <a:graphicData uri="http://schemas.openxmlformats.org/drawingml/2006/picture">
                <pic:pic xmlns:pic="http://schemas.openxmlformats.org/drawingml/2006/picture">
                  <pic:nvPicPr>
                    <pic:cNvPr id="333" name="Shape 333" descr="4.jpg"/>
                    <pic:cNvPicPr preferRelativeResize="0"/>
                  </pic:nvPicPr>
                  <pic:blipFill>
                    <a:blip r:embed="rId14">
                      <a:alphaModFix/>
                    </a:blip>
                    <a:stretch>
                      <a:fillRect/>
                    </a:stretch>
                  </pic:blipFill>
                  <pic:spPr>
                    <a:xfrm>
                      <a:off x="0" y="0"/>
                      <a:ext cx="5383577" cy="3287549"/>
                    </a:xfrm>
                    <a:prstGeom prst="rect">
                      <a:avLst/>
                    </a:prstGeom>
                    <a:noFill/>
                    <a:ln>
                      <a:noFill/>
                    </a:ln>
                  </pic:spPr>
                </pic:pic>
              </a:graphicData>
            </a:graphic>
          </wp:inline>
        </w:drawing>
      </w:r>
    </w:p>
    <w:p w14:paraId="67A5E8AF" w14:textId="52CF475C" w:rsidR="00921521" w:rsidRDefault="0006285C" w:rsidP="0006285C">
      <w:pPr>
        <w:pStyle w:val="af3"/>
        <w:jc w:val="center"/>
      </w:pPr>
      <w:r>
        <w:t xml:space="preserve">Figure </w:t>
      </w:r>
      <w:fldSimple w:instr=" SEQ Figure \* ARABIC ">
        <w:r>
          <w:rPr>
            <w:noProof/>
          </w:rPr>
          <w:t>7</w:t>
        </w:r>
      </w:fldSimple>
      <w:r w:rsidR="002C70BB">
        <w:rPr>
          <w:rFonts w:hint="eastAsia"/>
        </w:rPr>
        <w:t xml:space="preserve">　1974年～2016年のガソリン供給量</w:t>
      </w:r>
    </w:p>
    <w:p w14:paraId="45B2402B" w14:textId="0847A9B8" w:rsidR="00515092" w:rsidRDefault="00921521" w:rsidP="00641032">
      <w:r>
        <w:rPr>
          <w:rFonts w:hint="eastAsia"/>
        </w:rPr>
        <w:lastRenderedPageBreak/>
        <w:t xml:space="preserve">　図で示された表は1974年から2016年までのガソリン供給量をグラフにしたものである。このグラフでは、2005年</w:t>
      </w:r>
      <w:r w:rsidR="00641032">
        <w:rPr>
          <w:rFonts w:hint="eastAsia"/>
        </w:rPr>
        <w:t>か</w:t>
      </w:r>
      <w:r>
        <w:rPr>
          <w:rFonts w:hint="eastAsia"/>
        </w:rPr>
        <w:t>らガソリンの供給量が右肩下がりになっていることがわかる。</w:t>
      </w:r>
      <w:r w:rsidR="00641032">
        <w:rPr>
          <w:rFonts w:hint="eastAsia"/>
        </w:rPr>
        <w:t>先行研究である二村(</w:t>
      </w:r>
      <w:r w:rsidR="00EE13D4">
        <w:t>1999</w:t>
      </w:r>
      <w:r w:rsidR="00641032">
        <w:rPr>
          <w:rFonts w:hint="eastAsia"/>
        </w:rPr>
        <w:t>)においてガソリンの価格弾力性は、1974年から1997年までのデータを用いており、絶対的な水準でいえば2016年の供給量を下回ってはいるものの、ガソリン供給量が急増している時期のデータを用いて分析を行っている。一方で現在では、平均燃費も大きく向上し、ガソリンの供給量も減少傾向にあり、</w:t>
      </w:r>
      <w:r w:rsidR="003325D6">
        <w:rPr>
          <w:rFonts w:hint="eastAsia"/>
        </w:rPr>
        <w:t>ガソリンの需給構造が大きく変化している可能性が考えられる</w:t>
      </w:r>
      <w:r w:rsidR="00641032">
        <w:rPr>
          <w:rFonts w:hint="eastAsia"/>
        </w:rPr>
        <w:t>。以下ではその仮説</w:t>
      </w:r>
      <w:r w:rsidR="003325D6">
        <w:rPr>
          <w:rFonts w:hint="eastAsia"/>
        </w:rPr>
        <w:t>を検証し</w:t>
      </w:r>
      <w:r w:rsidR="00641032">
        <w:rPr>
          <w:rFonts w:hint="eastAsia"/>
        </w:rPr>
        <w:t>、</w:t>
      </w:r>
      <w:r w:rsidR="003325D6">
        <w:rPr>
          <w:rFonts w:hint="eastAsia"/>
        </w:rPr>
        <w:t>統計データを用いて</w:t>
      </w:r>
      <w:r w:rsidR="00641032">
        <w:rPr>
          <w:rFonts w:hint="eastAsia"/>
        </w:rPr>
        <w:t>実証分析を行う。</w:t>
      </w:r>
    </w:p>
    <w:p w14:paraId="520581D9" w14:textId="385335FA" w:rsidR="003043AD" w:rsidRDefault="003043AD" w:rsidP="00641032"/>
    <w:p w14:paraId="6B4A90FC" w14:textId="42D9572E" w:rsidR="003043AD" w:rsidRDefault="003043AD" w:rsidP="00641032"/>
    <w:p w14:paraId="26F26457" w14:textId="2B11D95F" w:rsidR="00726A67" w:rsidRDefault="00726A67" w:rsidP="00641032"/>
    <w:p w14:paraId="66CCD4B8" w14:textId="5743F04E" w:rsidR="00726A67" w:rsidRDefault="00726A67" w:rsidP="00641032"/>
    <w:p w14:paraId="6466C051" w14:textId="55EE335F" w:rsidR="00726A67" w:rsidRDefault="00726A67" w:rsidP="00641032"/>
    <w:p w14:paraId="2E35B494" w14:textId="2E5580A5" w:rsidR="00726A67" w:rsidRDefault="00726A67" w:rsidP="00641032"/>
    <w:p w14:paraId="21351881" w14:textId="47EAB074" w:rsidR="00726A67" w:rsidRDefault="00726A67" w:rsidP="00641032"/>
    <w:p w14:paraId="1180356C" w14:textId="15D2CBCB" w:rsidR="00726A67" w:rsidRDefault="00726A67" w:rsidP="00641032"/>
    <w:p w14:paraId="52E0E304" w14:textId="424DB998" w:rsidR="00726A67" w:rsidRDefault="00726A67" w:rsidP="00641032"/>
    <w:p w14:paraId="3AD5DA41" w14:textId="500CF4EB" w:rsidR="003E79D6" w:rsidRDefault="003E79D6" w:rsidP="00641032"/>
    <w:p w14:paraId="1C1CC8D8" w14:textId="273C4CB4" w:rsidR="003E79D6" w:rsidRDefault="003E79D6" w:rsidP="00641032"/>
    <w:p w14:paraId="4F5763FD" w14:textId="55C46A3B" w:rsidR="003E79D6" w:rsidRDefault="003E79D6" w:rsidP="00641032"/>
    <w:p w14:paraId="6B2C4E9E" w14:textId="7BE5AA30" w:rsidR="003E79D6" w:rsidRDefault="003E79D6" w:rsidP="00641032"/>
    <w:p w14:paraId="34BEF1C5" w14:textId="7FB9C25E" w:rsidR="003E79D6" w:rsidRDefault="003E79D6" w:rsidP="00641032"/>
    <w:p w14:paraId="14628D0F" w14:textId="4D836050" w:rsidR="003E79D6" w:rsidRDefault="003E79D6" w:rsidP="00641032"/>
    <w:p w14:paraId="4412AAC3" w14:textId="0D6162E4" w:rsidR="003E79D6" w:rsidRDefault="003E79D6" w:rsidP="00641032"/>
    <w:p w14:paraId="6C1B6FD6" w14:textId="740B20E4" w:rsidR="003E79D6" w:rsidRDefault="003E79D6" w:rsidP="00641032"/>
    <w:p w14:paraId="69F9B0A7" w14:textId="4208CF68" w:rsidR="003E79D6" w:rsidRDefault="003E79D6" w:rsidP="00641032"/>
    <w:p w14:paraId="6709AADC" w14:textId="719CBA58" w:rsidR="003E79D6" w:rsidRDefault="003E79D6" w:rsidP="00641032"/>
    <w:p w14:paraId="24A5A567" w14:textId="1438AEE3" w:rsidR="003E79D6" w:rsidRDefault="003E79D6" w:rsidP="00641032"/>
    <w:p w14:paraId="5D99F1FD" w14:textId="03A91D49" w:rsidR="003E79D6" w:rsidRDefault="003E79D6" w:rsidP="00641032"/>
    <w:p w14:paraId="09D519F8" w14:textId="5826865F" w:rsidR="003E79D6" w:rsidRDefault="003E79D6" w:rsidP="00641032"/>
    <w:p w14:paraId="58FDD19D" w14:textId="5E219BF4" w:rsidR="003E79D6" w:rsidRDefault="003E79D6" w:rsidP="00641032"/>
    <w:p w14:paraId="4A68C026" w14:textId="7E87217A" w:rsidR="003E79D6" w:rsidRDefault="003E79D6" w:rsidP="00641032"/>
    <w:p w14:paraId="211C4886" w14:textId="77777777" w:rsidR="003E79D6" w:rsidRDefault="003E79D6" w:rsidP="00641032">
      <w:pPr>
        <w:rPr>
          <w:rFonts w:hint="eastAsia"/>
        </w:rPr>
      </w:pPr>
    </w:p>
    <w:p w14:paraId="62B93906" w14:textId="1BF1A5C1" w:rsidR="00726A67" w:rsidRDefault="00726A67" w:rsidP="00641032"/>
    <w:p w14:paraId="2070A9C4" w14:textId="4B03D580" w:rsidR="00726A67" w:rsidRDefault="00726A67" w:rsidP="00641032"/>
    <w:p w14:paraId="6D225CF9" w14:textId="55964CC6" w:rsidR="00726A67" w:rsidRDefault="00726A67" w:rsidP="00641032"/>
    <w:p w14:paraId="045CE033" w14:textId="77777777" w:rsidR="00726A67" w:rsidRPr="003043AD" w:rsidRDefault="00726A67" w:rsidP="00726A67">
      <w:pPr>
        <w:rPr>
          <w:rFonts w:eastAsiaTheme="minorHAnsi"/>
          <w:b/>
          <w:color w:val="000000" w:themeColor="text1"/>
          <w:szCs w:val="21"/>
        </w:rPr>
      </w:pPr>
      <w:r w:rsidRPr="003043AD">
        <w:rPr>
          <w:rFonts w:eastAsiaTheme="minorHAnsi" w:hint="eastAsia"/>
          <w:b/>
          <w:color w:val="000000" w:themeColor="text1"/>
          <w:szCs w:val="21"/>
        </w:rPr>
        <w:lastRenderedPageBreak/>
        <w:t>第３章</w:t>
      </w:r>
      <w:r>
        <w:rPr>
          <w:rFonts w:eastAsiaTheme="minorHAnsi" w:hint="eastAsia"/>
          <w:b/>
          <w:color w:val="000000" w:themeColor="text1"/>
          <w:szCs w:val="21"/>
        </w:rPr>
        <w:t>データ分析</w:t>
      </w:r>
    </w:p>
    <w:p w14:paraId="7A11B59A" w14:textId="77777777" w:rsidR="00726A67" w:rsidRPr="003043AD" w:rsidRDefault="00726A67" w:rsidP="00726A67">
      <w:pPr>
        <w:ind w:firstLineChars="50" w:firstLine="103"/>
        <w:rPr>
          <w:rFonts w:eastAsiaTheme="minorHAnsi"/>
          <w:b/>
          <w:color w:val="000000" w:themeColor="text1"/>
          <w:szCs w:val="21"/>
        </w:rPr>
      </w:pPr>
      <w:r>
        <w:rPr>
          <w:rFonts w:eastAsiaTheme="minorHAnsi"/>
          <w:b/>
          <w:color w:val="000000" w:themeColor="text1"/>
          <w:szCs w:val="21"/>
        </w:rPr>
        <w:t>3.1</w:t>
      </w:r>
      <w:r>
        <w:rPr>
          <w:rFonts w:eastAsiaTheme="minorHAnsi" w:hint="eastAsia"/>
          <w:b/>
          <w:color w:val="000000" w:themeColor="text1"/>
          <w:szCs w:val="21"/>
        </w:rPr>
        <w:t>研究にあたって</w:t>
      </w:r>
    </w:p>
    <w:p w14:paraId="1470D42D" w14:textId="77777777" w:rsidR="00726A67" w:rsidRPr="00526577" w:rsidRDefault="00726A67" w:rsidP="00726A67">
      <w:pPr>
        <w:rPr>
          <w:rFonts w:eastAsiaTheme="minorHAnsi"/>
          <w:color w:val="000000" w:themeColor="text1"/>
          <w:szCs w:val="21"/>
        </w:rPr>
      </w:pPr>
      <w:r w:rsidRPr="003043AD">
        <w:rPr>
          <w:rFonts w:eastAsiaTheme="minorHAnsi"/>
          <w:color w:val="000000" w:themeColor="text1"/>
          <w:szCs w:val="21"/>
        </w:rPr>
        <w:t xml:space="preserve">　本研究の目的は</w:t>
      </w:r>
      <w:r w:rsidRPr="003043AD">
        <w:rPr>
          <w:rFonts w:eastAsiaTheme="minorHAnsi" w:hint="eastAsia"/>
          <w:color w:val="000000" w:themeColor="text1"/>
          <w:szCs w:val="21"/>
        </w:rPr>
        <w:t>、自動車関連税制の効果分析にあたって、最適税率を試算するために、自動車関連のガソリン需要モデルにおける価格弾力性の推計</w:t>
      </w:r>
      <w:r>
        <w:rPr>
          <w:rFonts w:eastAsiaTheme="minorHAnsi" w:hint="eastAsia"/>
          <w:color w:val="000000" w:themeColor="text1"/>
          <w:szCs w:val="21"/>
        </w:rPr>
        <w:t>を行うというものである</w:t>
      </w:r>
      <w:r w:rsidRPr="003043AD">
        <w:rPr>
          <w:rFonts w:eastAsiaTheme="minorHAnsi" w:hint="eastAsia"/>
          <w:color w:val="000000" w:themeColor="text1"/>
          <w:szCs w:val="21"/>
        </w:rPr>
        <w:t>。そこで、二村(1999)を先行研究として、</w:t>
      </w:r>
      <w:r w:rsidRPr="003043AD">
        <w:rPr>
          <w:rFonts w:eastAsiaTheme="minorHAnsi"/>
          <w:color w:val="000000" w:themeColor="text1"/>
          <w:szCs w:val="21"/>
        </w:rPr>
        <w:t>1974-2016</w:t>
      </w:r>
      <w:r w:rsidRPr="003043AD">
        <w:rPr>
          <w:rFonts w:eastAsiaTheme="minorHAnsi" w:hint="eastAsia"/>
          <w:color w:val="000000" w:themeColor="text1"/>
          <w:szCs w:val="21"/>
        </w:rPr>
        <w:t>年の年次データを用い、従来の市場環境に影響を与える可能性のある戦争や減税政策を含む外部要因が自動車ガソリンの需給</w:t>
      </w:r>
      <w:r w:rsidRPr="003043AD">
        <w:rPr>
          <w:rFonts w:eastAsiaTheme="minorHAnsi"/>
          <w:color w:val="000000" w:themeColor="text1"/>
          <w:szCs w:val="21"/>
        </w:rPr>
        <w:t>に与えた影響を時系列分析によって定量的に把握</w:t>
      </w:r>
      <w:r w:rsidRPr="003043AD">
        <w:rPr>
          <w:rFonts w:eastAsiaTheme="minorHAnsi" w:hint="eastAsia"/>
          <w:color w:val="000000" w:themeColor="text1"/>
          <w:szCs w:val="21"/>
        </w:rPr>
        <w:t>することを目的として、二村(</w:t>
      </w:r>
      <w:r w:rsidRPr="003043AD">
        <w:rPr>
          <w:rFonts w:eastAsiaTheme="minorHAnsi"/>
          <w:color w:val="000000" w:themeColor="text1"/>
          <w:szCs w:val="21"/>
        </w:rPr>
        <w:t>1999</w:t>
      </w:r>
      <w:r w:rsidRPr="003043AD">
        <w:rPr>
          <w:rFonts w:eastAsiaTheme="minorHAnsi" w:hint="eastAsia"/>
          <w:color w:val="000000" w:themeColor="text1"/>
          <w:szCs w:val="21"/>
        </w:rPr>
        <w:t>)と同期間である1974年から1997年までの分析結果と、1974年から2016年までの分析結果を比較する。</w:t>
      </w:r>
    </w:p>
    <w:p w14:paraId="4788864F" w14:textId="4A77AC0C" w:rsidR="00726A67" w:rsidRPr="003043AD" w:rsidRDefault="00726A67" w:rsidP="00726A67">
      <w:pPr>
        <w:ind w:firstLineChars="100" w:firstLine="210"/>
        <w:rPr>
          <w:rFonts w:eastAsiaTheme="minorHAnsi"/>
          <w:color w:val="000000" w:themeColor="text1"/>
          <w:szCs w:val="21"/>
        </w:rPr>
      </w:pPr>
      <w:r w:rsidRPr="003043AD">
        <w:rPr>
          <w:rFonts w:eastAsiaTheme="minorHAnsi"/>
          <w:color w:val="000000" w:themeColor="text1"/>
          <w:szCs w:val="21"/>
        </w:rPr>
        <w:t>分析にあたっては、</w:t>
      </w:r>
      <w:r w:rsidRPr="003043AD">
        <w:rPr>
          <w:rFonts w:eastAsiaTheme="minorHAnsi" w:hint="eastAsia"/>
          <w:color w:val="000000" w:themeColor="text1"/>
          <w:szCs w:val="21"/>
        </w:rPr>
        <w:t>自動車関連のガソリン需要モデルにおける価格弾力性の変化</w:t>
      </w:r>
      <w:r>
        <w:rPr>
          <w:rFonts w:eastAsiaTheme="minorHAnsi"/>
          <w:color w:val="000000" w:themeColor="text1"/>
          <w:szCs w:val="21"/>
        </w:rPr>
        <w:t>に対してミクロ経済学の部分均衡分析にしたがって</w:t>
      </w:r>
      <w:r>
        <w:rPr>
          <w:rFonts w:eastAsiaTheme="minorHAnsi" w:hint="eastAsia"/>
          <w:color w:val="000000" w:themeColor="text1"/>
          <w:szCs w:val="21"/>
        </w:rPr>
        <w:t>需要曲線と供給曲線</w:t>
      </w:r>
      <w:r>
        <w:rPr>
          <w:rFonts w:eastAsiaTheme="minorHAnsi"/>
          <w:color w:val="000000" w:themeColor="text1"/>
          <w:szCs w:val="21"/>
        </w:rPr>
        <w:t>（</w:t>
      </w:r>
      <w:r>
        <w:rPr>
          <w:rFonts w:eastAsiaTheme="minorHAnsi" w:hint="eastAsia"/>
          <w:color w:val="000000" w:themeColor="text1"/>
          <w:szCs w:val="21"/>
        </w:rPr>
        <w:t>Figure</w:t>
      </w:r>
      <w:r>
        <w:rPr>
          <w:rFonts w:eastAsiaTheme="minorHAnsi"/>
          <w:color w:val="000000" w:themeColor="text1"/>
          <w:szCs w:val="21"/>
        </w:rPr>
        <w:t>8</w:t>
      </w:r>
      <w:r w:rsidRPr="003043AD">
        <w:rPr>
          <w:rFonts w:eastAsiaTheme="minorHAnsi"/>
          <w:color w:val="000000" w:themeColor="text1"/>
          <w:szCs w:val="21"/>
        </w:rPr>
        <w:t>）を設定</w:t>
      </w:r>
      <w:r w:rsidRPr="003043AD">
        <w:rPr>
          <w:rFonts w:eastAsiaTheme="minorHAnsi" w:hint="eastAsia"/>
          <w:color w:val="000000" w:themeColor="text1"/>
          <w:szCs w:val="21"/>
        </w:rPr>
        <w:t>した</w:t>
      </w:r>
      <w:r w:rsidRPr="003043AD">
        <w:rPr>
          <w:rFonts w:eastAsiaTheme="minorHAnsi"/>
          <w:color w:val="000000" w:themeColor="text1"/>
          <w:szCs w:val="21"/>
        </w:rPr>
        <w:t>。仮説は、</w:t>
      </w:r>
      <w:r w:rsidRPr="003043AD">
        <w:rPr>
          <w:rFonts w:eastAsiaTheme="minorHAnsi" w:hint="eastAsia"/>
          <w:color w:val="000000" w:themeColor="text1"/>
          <w:szCs w:val="21"/>
        </w:rPr>
        <w:t>低燃費車や電気自動車（ＥＶ）の普及を背景にガソリン需要が伸び悩み、加えて、国内規制強化や</w:t>
      </w:r>
      <w:r w:rsidRPr="003043AD">
        <w:rPr>
          <w:rFonts w:eastAsiaTheme="minorHAnsi"/>
          <w:color w:val="000000" w:themeColor="text1"/>
          <w:szCs w:val="21"/>
        </w:rPr>
        <w:t>エコカー市場の拡大並びに減税税制政策</w:t>
      </w:r>
      <w:r w:rsidRPr="003043AD">
        <w:rPr>
          <w:rFonts w:eastAsiaTheme="minorHAnsi" w:hint="eastAsia"/>
          <w:color w:val="000000" w:themeColor="text1"/>
          <w:szCs w:val="21"/>
        </w:rPr>
        <w:t>の動きのなかで、</w:t>
      </w:r>
      <w:r w:rsidRPr="003043AD">
        <w:rPr>
          <w:rFonts w:eastAsiaTheme="minorHAnsi"/>
          <w:color w:val="000000" w:themeColor="text1"/>
          <w:szCs w:val="21"/>
        </w:rPr>
        <w:t>ガソリン需給モデルにおいては</w:t>
      </w:r>
      <w:r w:rsidRPr="003043AD">
        <w:rPr>
          <w:rFonts w:eastAsiaTheme="minorHAnsi" w:hint="eastAsia"/>
          <w:color w:val="000000" w:themeColor="text1"/>
          <w:szCs w:val="21"/>
        </w:rPr>
        <w:t>需要曲線のシフトが引き起こされ、需給</w:t>
      </w:r>
      <w:r w:rsidRPr="003043AD">
        <w:rPr>
          <w:rFonts w:eastAsiaTheme="minorHAnsi"/>
          <w:color w:val="000000" w:themeColor="text1"/>
          <w:szCs w:val="21"/>
        </w:rPr>
        <w:t>構造</w:t>
      </w:r>
      <w:r w:rsidRPr="003043AD">
        <w:rPr>
          <w:rFonts w:eastAsiaTheme="minorHAnsi" w:hint="eastAsia"/>
          <w:color w:val="000000" w:themeColor="text1"/>
          <w:szCs w:val="21"/>
        </w:rPr>
        <w:t>の</w:t>
      </w:r>
      <w:r w:rsidRPr="003043AD">
        <w:rPr>
          <w:rFonts w:eastAsiaTheme="minorHAnsi"/>
          <w:color w:val="000000" w:themeColor="text1"/>
          <w:szCs w:val="21"/>
        </w:rPr>
        <w:t>変化が生じ</w:t>
      </w:r>
      <w:r>
        <w:rPr>
          <w:rFonts w:eastAsiaTheme="minorHAnsi" w:hint="eastAsia"/>
          <w:color w:val="000000" w:themeColor="text1"/>
          <w:szCs w:val="21"/>
        </w:rPr>
        <w:t>ているというものである</w:t>
      </w:r>
      <w:r w:rsidRPr="003043AD">
        <w:rPr>
          <w:rFonts w:eastAsiaTheme="minorHAnsi" w:hint="eastAsia"/>
          <w:color w:val="000000" w:themeColor="text1"/>
          <w:szCs w:val="21"/>
        </w:rPr>
        <w:t>。</w:t>
      </w:r>
      <w:r>
        <w:rPr>
          <w:rFonts w:eastAsiaTheme="minorHAnsi" w:hint="eastAsia"/>
          <w:color w:val="000000" w:themeColor="text1"/>
          <w:szCs w:val="21"/>
        </w:rPr>
        <w:t>これを確認するために、いくつかのダミー</w:t>
      </w:r>
      <w:bookmarkStart w:id="0" w:name="OLE_LINK1"/>
      <w:bookmarkStart w:id="1" w:name="OLE_LINK2"/>
      <w:r>
        <w:rPr>
          <w:rFonts w:eastAsiaTheme="minorHAnsi" w:hint="eastAsia"/>
          <w:color w:val="000000" w:themeColor="text1"/>
          <w:szCs w:val="21"/>
        </w:rPr>
        <w:t>変数</w:t>
      </w:r>
      <w:bookmarkEnd w:id="0"/>
      <w:bookmarkEnd w:id="1"/>
      <w:r>
        <w:rPr>
          <w:rFonts w:eastAsiaTheme="minorHAnsi" w:hint="eastAsia"/>
          <w:color w:val="000000" w:themeColor="text1"/>
          <w:szCs w:val="21"/>
        </w:rPr>
        <w:t>を導入し、各変数の有意性と信頼区間やVARモデルの</w:t>
      </w:r>
      <w:r w:rsidR="006A0AAC">
        <w:rPr>
          <w:rFonts w:ascii="ＭＳ 明朝" w:eastAsia="ＭＳ 明朝" w:hAnsi="ＭＳ 明朝" w:hint="eastAsia"/>
          <w:color w:val="000000" w:themeColor="text1"/>
          <w:szCs w:val="21"/>
        </w:rPr>
        <w:t>応答曲線を比較することで、構造変化の分析を試みる。</w:t>
      </w:r>
    </w:p>
    <w:p w14:paraId="5B9554DF" w14:textId="0D871D05" w:rsidR="00726A67" w:rsidRPr="003043AD" w:rsidRDefault="00726A67" w:rsidP="00726A67">
      <w:pPr>
        <w:ind w:firstLine="240"/>
        <w:rPr>
          <w:rFonts w:eastAsiaTheme="minorHAnsi"/>
          <w:color w:val="000000" w:themeColor="text1"/>
          <w:szCs w:val="21"/>
        </w:rPr>
      </w:pPr>
      <w:r>
        <w:rPr>
          <w:rFonts w:eastAsiaTheme="minorHAnsi" w:hint="eastAsia"/>
          <w:color w:val="000000" w:themeColor="text1"/>
          <w:szCs w:val="21"/>
        </w:rPr>
        <w:t>仮説として、</w:t>
      </w:r>
      <w:r w:rsidRPr="003043AD">
        <w:rPr>
          <w:rFonts w:eastAsiaTheme="minorHAnsi" w:hint="eastAsia"/>
          <w:color w:val="000000" w:themeColor="text1"/>
          <w:szCs w:val="21"/>
        </w:rPr>
        <w:t>従来のガソリン車より燃費が優れている</w:t>
      </w:r>
      <w:r>
        <w:rPr>
          <w:rFonts w:eastAsiaTheme="minorHAnsi" w:hint="eastAsia"/>
          <w:color w:val="000000" w:themeColor="text1"/>
          <w:szCs w:val="21"/>
        </w:rPr>
        <w:t>エコカー市場の拡大によって、</w:t>
      </w:r>
      <w:r w:rsidRPr="003043AD">
        <w:rPr>
          <w:rFonts w:eastAsiaTheme="minorHAnsi" w:hint="eastAsia"/>
          <w:color w:val="000000" w:themeColor="text1"/>
          <w:szCs w:val="21"/>
        </w:rPr>
        <w:t>ガソリンの需要曲線</w:t>
      </w:r>
      <w:r>
        <w:rPr>
          <w:rFonts w:eastAsiaTheme="minorHAnsi"/>
          <w:color w:val="000000" w:themeColor="text1"/>
          <w:szCs w:val="21"/>
        </w:rPr>
        <w:t>が</w:t>
      </w:r>
      <w:r>
        <w:rPr>
          <w:rFonts w:eastAsiaTheme="minorHAnsi" w:hint="eastAsia"/>
          <w:color w:val="000000" w:themeColor="text1"/>
          <w:szCs w:val="21"/>
        </w:rPr>
        <w:t>左</w:t>
      </w:r>
      <w:r w:rsidRPr="003043AD">
        <w:rPr>
          <w:rFonts w:eastAsiaTheme="minorHAnsi"/>
          <w:color w:val="000000" w:themeColor="text1"/>
          <w:szCs w:val="21"/>
        </w:rPr>
        <w:t>にシフトし、</w:t>
      </w:r>
      <w:r w:rsidRPr="003043AD">
        <w:rPr>
          <w:rFonts w:eastAsiaTheme="minorHAnsi" w:hint="eastAsia"/>
          <w:color w:val="000000" w:themeColor="text1"/>
          <w:szCs w:val="21"/>
        </w:rPr>
        <w:t>消費者向けのガソリン</w:t>
      </w:r>
      <w:r w:rsidRPr="003043AD">
        <w:rPr>
          <w:rFonts w:eastAsiaTheme="minorHAnsi"/>
          <w:color w:val="000000" w:themeColor="text1"/>
          <w:szCs w:val="21"/>
        </w:rPr>
        <w:t>価格の低下（P</w:t>
      </w:r>
      <w:r w:rsidRPr="003043AD">
        <w:rPr>
          <w:rFonts w:eastAsiaTheme="minorHAnsi" w:hint="eastAsia"/>
          <w:color w:val="000000" w:themeColor="text1"/>
          <w:szCs w:val="21"/>
        </w:rPr>
        <w:t>₀</w:t>
      </w:r>
      <w:r w:rsidRPr="003043AD">
        <w:rPr>
          <w:rFonts w:eastAsiaTheme="minorHAnsi"/>
          <w:color w:val="000000" w:themeColor="text1"/>
          <w:szCs w:val="21"/>
        </w:rPr>
        <w:t>→</w:t>
      </w:r>
      <w:r w:rsidRPr="003043AD">
        <w:rPr>
          <w:rFonts w:eastAsiaTheme="minorHAnsi" w:hint="eastAsia"/>
          <w:color w:val="000000" w:themeColor="text1"/>
          <w:szCs w:val="21"/>
        </w:rPr>
        <w:t>P₁</w:t>
      </w:r>
      <w:r w:rsidRPr="003043AD">
        <w:rPr>
          <w:rFonts w:eastAsiaTheme="minorHAnsi"/>
          <w:color w:val="000000" w:themeColor="text1"/>
          <w:szCs w:val="21"/>
        </w:rPr>
        <w:t>）</w:t>
      </w:r>
      <w:r w:rsidRPr="003043AD">
        <w:rPr>
          <w:rFonts w:eastAsiaTheme="minorHAnsi" w:hint="eastAsia"/>
          <w:color w:val="000000" w:themeColor="text1"/>
          <w:szCs w:val="21"/>
        </w:rPr>
        <w:t>と販売量</w:t>
      </w:r>
      <w:r w:rsidRPr="003043AD">
        <w:rPr>
          <w:rFonts w:eastAsiaTheme="minorHAnsi"/>
          <w:color w:val="000000" w:themeColor="text1"/>
          <w:szCs w:val="21"/>
        </w:rPr>
        <w:t>の</w:t>
      </w:r>
      <w:r w:rsidRPr="003043AD">
        <w:rPr>
          <w:rFonts w:eastAsiaTheme="minorHAnsi" w:hint="eastAsia"/>
          <w:color w:val="000000" w:themeColor="text1"/>
          <w:szCs w:val="21"/>
        </w:rPr>
        <w:t>低下</w:t>
      </w:r>
      <w:r w:rsidRPr="003043AD">
        <w:rPr>
          <w:rFonts w:eastAsiaTheme="minorHAnsi"/>
          <w:color w:val="000000" w:themeColor="text1"/>
          <w:szCs w:val="21"/>
        </w:rPr>
        <w:t>（Q</w:t>
      </w:r>
      <w:r w:rsidRPr="003043AD">
        <w:rPr>
          <w:rFonts w:eastAsiaTheme="minorHAnsi" w:hint="eastAsia"/>
          <w:color w:val="000000" w:themeColor="text1"/>
          <w:szCs w:val="21"/>
        </w:rPr>
        <w:t>₀</w:t>
      </w:r>
      <w:r w:rsidRPr="003043AD">
        <w:rPr>
          <w:rFonts w:eastAsiaTheme="minorHAnsi"/>
          <w:color w:val="000000" w:themeColor="text1"/>
          <w:szCs w:val="21"/>
        </w:rPr>
        <w:t>→Q</w:t>
      </w:r>
      <w:r w:rsidRPr="003043AD">
        <w:rPr>
          <w:rFonts w:eastAsiaTheme="minorHAnsi" w:hint="eastAsia"/>
          <w:color w:val="000000" w:themeColor="text1"/>
          <w:szCs w:val="21"/>
        </w:rPr>
        <w:t>₁</w:t>
      </w:r>
      <w:r w:rsidRPr="003043AD">
        <w:rPr>
          <w:rFonts w:eastAsiaTheme="minorHAnsi"/>
          <w:color w:val="000000" w:themeColor="text1"/>
          <w:szCs w:val="21"/>
        </w:rPr>
        <w:t>）がもたらされたという内容である。</w:t>
      </w:r>
      <w:r w:rsidRPr="003043AD">
        <w:rPr>
          <w:rFonts w:eastAsiaTheme="minorHAnsi" w:hint="eastAsia"/>
          <w:color w:val="000000" w:themeColor="text1"/>
          <w:szCs w:val="21"/>
        </w:rPr>
        <w:t>仮説を設定した意図は、分析結果と</w:t>
      </w:r>
      <w:r w:rsidR="006A0AAC">
        <w:rPr>
          <w:rFonts w:eastAsiaTheme="minorHAnsi" w:hint="eastAsia"/>
          <w:color w:val="000000" w:themeColor="text1"/>
          <w:szCs w:val="21"/>
        </w:rPr>
        <w:t>仮説を比較検証することで、分析結果をより明瞭に評価することにある</w:t>
      </w:r>
      <w:r w:rsidRPr="003043AD">
        <w:rPr>
          <w:rFonts w:eastAsiaTheme="minorHAnsi" w:hint="eastAsia"/>
          <w:color w:val="000000" w:themeColor="text1"/>
          <w:szCs w:val="21"/>
        </w:rPr>
        <w:t>。</w:t>
      </w:r>
      <w:r w:rsidRPr="003043AD">
        <w:rPr>
          <w:rFonts w:eastAsiaTheme="minorHAnsi"/>
          <w:color w:val="000000" w:themeColor="text1"/>
          <w:szCs w:val="21"/>
        </w:rPr>
        <w:t xml:space="preserve">　</w:t>
      </w:r>
    </w:p>
    <w:p w14:paraId="0AE5D67E" w14:textId="77777777" w:rsidR="00726A67" w:rsidRDefault="00726A67" w:rsidP="00726A67">
      <w:pPr>
        <w:keepNext/>
        <w:ind w:firstLine="240"/>
        <w:jc w:val="center"/>
      </w:pPr>
      <w:r w:rsidRPr="003043AD">
        <w:rPr>
          <w:rFonts w:eastAsiaTheme="minorHAnsi"/>
          <w:noProof/>
          <w:color w:val="FF0000"/>
          <w:szCs w:val="21"/>
        </w:rPr>
        <w:drawing>
          <wp:inline distT="0" distB="0" distL="0" distR="0" wp14:anchorId="1815D384" wp14:editId="18601E89">
            <wp:extent cx="3130661" cy="2223933"/>
            <wp:effectExtent l="0" t="0" r="0" b="1143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図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30661" cy="2223933"/>
                    </a:xfrm>
                    <a:prstGeom prst="rect">
                      <a:avLst/>
                    </a:prstGeom>
                    <a:noFill/>
                    <a:ln>
                      <a:noFill/>
                    </a:ln>
                  </pic:spPr>
                </pic:pic>
              </a:graphicData>
            </a:graphic>
          </wp:inline>
        </w:drawing>
      </w:r>
    </w:p>
    <w:p w14:paraId="2E624D55" w14:textId="77777777" w:rsidR="00726A67" w:rsidRPr="003043AD" w:rsidRDefault="00726A67" w:rsidP="00726A67">
      <w:pPr>
        <w:pStyle w:val="af3"/>
        <w:jc w:val="center"/>
        <w:rPr>
          <w:rFonts w:eastAsiaTheme="minorHAnsi"/>
          <w:color w:val="FF0000"/>
        </w:rPr>
      </w:pPr>
      <w:r>
        <w:t xml:space="preserve">Figure </w:t>
      </w:r>
      <w:fldSimple w:instr=" SEQ Figure \* ARABIC ">
        <w:r>
          <w:rPr>
            <w:noProof/>
          </w:rPr>
          <w:t>8</w:t>
        </w:r>
      </w:fldSimple>
      <w:r>
        <w:rPr>
          <w:rFonts w:hint="eastAsia"/>
          <w:noProof/>
        </w:rPr>
        <w:t>ガソリン需給</w:t>
      </w:r>
    </w:p>
    <w:p w14:paraId="0C3D7A24" w14:textId="77777777" w:rsidR="00726A67" w:rsidRPr="003043AD" w:rsidRDefault="00726A67" w:rsidP="00726A67">
      <w:pPr>
        <w:rPr>
          <w:rFonts w:eastAsiaTheme="minorHAnsi"/>
          <w:b/>
          <w:color w:val="FF0000"/>
          <w:szCs w:val="21"/>
        </w:rPr>
      </w:pPr>
    </w:p>
    <w:p w14:paraId="2D837CC3" w14:textId="77777777" w:rsidR="00726A67" w:rsidRPr="003043AD" w:rsidRDefault="00726A67" w:rsidP="00726A67">
      <w:pPr>
        <w:rPr>
          <w:rFonts w:eastAsiaTheme="minorHAnsi"/>
          <w:color w:val="000000" w:themeColor="text1"/>
          <w:szCs w:val="21"/>
        </w:rPr>
      </w:pPr>
      <w:r w:rsidRPr="003043AD">
        <w:rPr>
          <w:rFonts w:eastAsiaTheme="minorHAnsi" w:hint="eastAsia"/>
          <w:color w:val="FF0000"/>
          <w:szCs w:val="21"/>
        </w:rPr>
        <w:t xml:space="preserve">　</w:t>
      </w:r>
      <w:r w:rsidRPr="003043AD">
        <w:rPr>
          <w:rFonts w:eastAsiaTheme="minorHAnsi" w:hint="eastAsia"/>
          <w:color w:val="000000" w:themeColor="text1"/>
          <w:szCs w:val="21"/>
        </w:rPr>
        <w:t>本分析では経済産業省・資源エネルギー庁「エネルギー生産需給統計年報」消費者向け販売統計及び、総務省統計局 「小売物価統計調査（動向編）」のデータを使用した。その上で、国内消費者向けのガソリン販売価格について、「小売物価統計調査（動向編）」に掲載されている「県庁所在市及び人口15万以上の市の自動車ガソリンレギュラー価格」という月次データを用いて、全国年平均価格を試算することにした。</w:t>
      </w:r>
    </w:p>
    <w:p w14:paraId="28561BD5" w14:textId="14246266" w:rsidR="00726A67" w:rsidRPr="00F5126F" w:rsidRDefault="00726A67" w:rsidP="00726A67">
      <w:pPr>
        <w:pStyle w:val="p1"/>
        <w:rPr>
          <w:rFonts w:asciiTheme="minorHAnsi" w:eastAsiaTheme="minorHAnsi" w:hAnsiTheme="minorHAnsi" w:cstheme="minorBidi"/>
          <w:color w:val="000000" w:themeColor="text1"/>
          <w:kern w:val="2"/>
          <w:sz w:val="21"/>
          <w:szCs w:val="21"/>
        </w:rPr>
      </w:pPr>
      <w:r>
        <w:rPr>
          <w:rFonts w:eastAsiaTheme="minorHAnsi" w:hint="eastAsia"/>
          <w:color w:val="000000" w:themeColor="text1"/>
          <w:szCs w:val="21"/>
        </w:rPr>
        <w:lastRenderedPageBreak/>
        <w:t xml:space="preserve">　</w:t>
      </w:r>
      <w:r w:rsidRPr="00F5126F">
        <w:rPr>
          <w:rFonts w:asciiTheme="minorHAnsi" w:eastAsiaTheme="minorHAnsi" w:hAnsiTheme="minorHAnsi" w:cstheme="minorBidi" w:hint="eastAsia"/>
          <w:color w:val="000000" w:themeColor="text1"/>
          <w:kern w:val="2"/>
          <w:sz w:val="21"/>
          <w:szCs w:val="21"/>
        </w:rPr>
        <w:t>日本のガソリン価格は、オイルショックや湾</w:t>
      </w:r>
      <w:r w:rsidR="006A0AAC">
        <w:rPr>
          <w:rFonts w:asciiTheme="minorHAnsi" w:eastAsiaTheme="minorHAnsi" w:hAnsiTheme="minorHAnsi" w:cstheme="minorBidi" w:hint="eastAsia"/>
          <w:color w:val="000000" w:themeColor="text1"/>
          <w:kern w:val="2"/>
          <w:sz w:val="21"/>
          <w:szCs w:val="21"/>
        </w:rPr>
        <w:t>岸戦争に伴う原油の高騰でもない限り、概ね国内事情でその価格が推移していたが</w:t>
      </w:r>
      <w:r w:rsidRPr="00F5126F">
        <w:rPr>
          <w:rFonts w:asciiTheme="minorHAnsi" w:eastAsiaTheme="minorHAnsi" w:hAnsiTheme="minorHAnsi" w:cstheme="minorBidi" w:hint="eastAsia"/>
          <w:color w:val="000000" w:themeColor="text1"/>
          <w:kern w:val="2"/>
          <w:sz w:val="21"/>
          <w:szCs w:val="21"/>
        </w:rPr>
        <w:t>、輸入原油の乱高下と</w:t>
      </w:r>
      <w:r w:rsidRPr="00F5126F">
        <w:rPr>
          <w:rFonts w:asciiTheme="minorHAnsi" w:eastAsiaTheme="minorHAnsi" w:hAnsiTheme="minorHAnsi" w:cstheme="minorBidi"/>
          <w:color w:val="000000" w:themeColor="text1"/>
          <w:kern w:val="2"/>
          <w:sz w:val="21"/>
          <w:szCs w:val="21"/>
        </w:rPr>
        <w:t>2008年導入された元売と特約店間の卸価格決定方式で、原油輸入価格からの</w:t>
      </w:r>
      <w:r w:rsidRPr="00F5126F">
        <w:rPr>
          <w:rFonts w:asciiTheme="minorHAnsi" w:eastAsiaTheme="minorHAnsi" w:hAnsiTheme="minorHAnsi" w:cstheme="minorBidi" w:hint="eastAsia"/>
          <w:color w:val="000000" w:themeColor="text1"/>
          <w:kern w:val="2"/>
          <w:sz w:val="21"/>
          <w:szCs w:val="21"/>
        </w:rPr>
        <w:t>コスト積み上げ方式とともに、ノンブランド品の製品市況価格にも連動する「市況連動型」に変更になった。</w:t>
      </w:r>
      <w:r>
        <w:rPr>
          <w:rFonts w:asciiTheme="minorHAnsi" w:eastAsiaTheme="minorHAnsi" w:hAnsiTheme="minorHAnsi" w:cstheme="minorBidi" w:hint="eastAsia"/>
          <w:color w:val="000000" w:themeColor="text1"/>
          <w:kern w:val="2"/>
          <w:sz w:val="21"/>
          <w:szCs w:val="21"/>
        </w:rPr>
        <w:t>結果、</w:t>
      </w:r>
      <w:r w:rsidRPr="00F5126F">
        <w:rPr>
          <w:rFonts w:asciiTheme="minorHAnsi" w:eastAsiaTheme="minorHAnsi" w:hAnsiTheme="minorHAnsi" w:cstheme="minorBidi" w:hint="eastAsia"/>
          <w:color w:val="000000" w:themeColor="text1"/>
          <w:kern w:val="2"/>
          <w:sz w:val="21"/>
          <w:szCs w:val="21"/>
        </w:rPr>
        <w:t>投機商品と化した原油価格の影響を受けるようになったことがガソリン需給推移に大きな影響を与えたと考えられる。過去</w:t>
      </w:r>
      <w:r w:rsidRPr="00F5126F">
        <w:rPr>
          <w:rFonts w:asciiTheme="minorHAnsi" w:eastAsiaTheme="minorHAnsi" w:hAnsiTheme="minorHAnsi" w:cstheme="minorBidi"/>
          <w:color w:val="000000" w:themeColor="text1"/>
          <w:kern w:val="2"/>
          <w:sz w:val="21"/>
          <w:szCs w:val="21"/>
        </w:rPr>
        <w:t>43</w:t>
      </w:r>
      <w:r w:rsidRPr="00F5126F">
        <w:rPr>
          <w:rFonts w:asciiTheme="minorHAnsi" w:eastAsiaTheme="minorHAnsi" w:hAnsiTheme="minorHAnsi" w:cstheme="minorBidi" w:hint="eastAsia"/>
          <w:color w:val="000000" w:themeColor="text1"/>
          <w:kern w:val="2"/>
          <w:sz w:val="21"/>
          <w:szCs w:val="21"/>
        </w:rPr>
        <w:t>年（</w:t>
      </w:r>
      <w:r w:rsidRPr="00F5126F">
        <w:rPr>
          <w:rFonts w:asciiTheme="minorHAnsi" w:eastAsiaTheme="minorHAnsi" w:hAnsiTheme="minorHAnsi" w:cstheme="minorBidi"/>
          <w:color w:val="000000" w:themeColor="text1"/>
          <w:kern w:val="2"/>
          <w:sz w:val="21"/>
          <w:szCs w:val="21"/>
        </w:rPr>
        <w:t>1974-2016年）の</w:t>
      </w:r>
      <w:r w:rsidRPr="00F5126F">
        <w:rPr>
          <w:rFonts w:asciiTheme="minorHAnsi" w:eastAsiaTheme="minorHAnsi" w:hAnsiTheme="minorHAnsi" w:cstheme="minorBidi" w:hint="eastAsia"/>
          <w:color w:val="000000" w:themeColor="text1"/>
          <w:kern w:val="2"/>
          <w:sz w:val="21"/>
          <w:szCs w:val="21"/>
        </w:rPr>
        <w:t>日本国内消費者向けに販売されたガソリン</w:t>
      </w:r>
      <w:r w:rsidRPr="00F5126F">
        <w:rPr>
          <w:rFonts w:asciiTheme="minorHAnsi" w:eastAsiaTheme="minorHAnsi" w:hAnsiTheme="minorHAnsi" w:cstheme="minorBidi"/>
          <w:color w:val="000000" w:themeColor="text1"/>
          <w:kern w:val="2"/>
          <w:sz w:val="21"/>
          <w:szCs w:val="21"/>
        </w:rPr>
        <w:t>の平均価格と取扱数量の年次データ推移がFigure9である。</w:t>
      </w:r>
      <w:r w:rsidRPr="00F5126F">
        <w:rPr>
          <w:rFonts w:asciiTheme="minorHAnsi" w:eastAsiaTheme="minorHAnsi" w:hAnsiTheme="minorHAnsi" w:cstheme="minorBidi" w:hint="eastAsia"/>
          <w:color w:val="000000" w:themeColor="text1"/>
          <w:kern w:val="2"/>
          <w:sz w:val="21"/>
          <w:szCs w:val="21"/>
        </w:rPr>
        <w:t>データセットの前半において価格や販売量両方ともに</w:t>
      </w:r>
      <w:r w:rsidRPr="00F5126F">
        <w:rPr>
          <w:rFonts w:asciiTheme="minorHAnsi" w:eastAsiaTheme="minorHAnsi" w:hAnsiTheme="minorHAnsi" w:cstheme="minorBidi"/>
          <w:color w:val="000000" w:themeColor="text1"/>
          <w:kern w:val="2"/>
          <w:sz w:val="21"/>
          <w:szCs w:val="21"/>
        </w:rPr>
        <w:t>ばらつきは大きいものの、</w:t>
      </w:r>
      <w:r w:rsidRPr="00F5126F">
        <w:rPr>
          <w:rFonts w:asciiTheme="minorHAnsi" w:eastAsiaTheme="minorHAnsi" w:hAnsiTheme="minorHAnsi" w:cstheme="minorBidi" w:hint="eastAsia"/>
          <w:color w:val="000000" w:themeColor="text1"/>
          <w:kern w:val="2"/>
          <w:sz w:val="21"/>
          <w:szCs w:val="21"/>
        </w:rPr>
        <w:t>データセットの後半である</w:t>
      </w:r>
      <w:r w:rsidRPr="00F5126F">
        <w:rPr>
          <w:rFonts w:asciiTheme="minorHAnsi" w:eastAsiaTheme="minorHAnsi" w:hAnsiTheme="minorHAnsi" w:cstheme="minorBidi"/>
          <w:color w:val="000000" w:themeColor="text1"/>
          <w:kern w:val="2"/>
          <w:sz w:val="21"/>
          <w:szCs w:val="21"/>
        </w:rPr>
        <w:t>1994</w:t>
      </w:r>
      <w:r w:rsidRPr="00F5126F">
        <w:rPr>
          <w:rFonts w:asciiTheme="minorHAnsi" w:eastAsiaTheme="minorHAnsi" w:hAnsiTheme="minorHAnsi" w:cstheme="minorBidi" w:hint="eastAsia"/>
          <w:color w:val="000000" w:themeColor="text1"/>
          <w:kern w:val="2"/>
          <w:sz w:val="21"/>
          <w:szCs w:val="21"/>
        </w:rPr>
        <w:t>年ごろ（</w:t>
      </w:r>
      <w:r w:rsidRPr="00F5126F">
        <w:rPr>
          <w:rFonts w:asciiTheme="minorHAnsi" w:eastAsiaTheme="minorHAnsi" w:hAnsiTheme="minorHAnsi" w:cstheme="minorBidi"/>
          <w:color w:val="000000" w:themeColor="text1"/>
          <w:kern w:val="2"/>
          <w:sz w:val="21"/>
          <w:szCs w:val="21"/>
        </w:rPr>
        <w:t>q=5x10^7kl</w:t>
      </w:r>
      <w:r w:rsidRPr="00F5126F">
        <w:rPr>
          <w:rFonts w:asciiTheme="minorHAnsi" w:eastAsiaTheme="minorHAnsi" w:hAnsiTheme="minorHAnsi" w:cstheme="minorBidi" w:hint="eastAsia"/>
          <w:color w:val="000000" w:themeColor="text1"/>
          <w:kern w:val="2"/>
          <w:sz w:val="21"/>
          <w:szCs w:val="21"/>
        </w:rPr>
        <w:t>）からガソリン小売価格の上下変動が激しくなるとともに、ガソリン販売量は</w:t>
      </w:r>
      <w:r w:rsidRPr="00F5126F">
        <w:rPr>
          <w:rFonts w:asciiTheme="minorHAnsi" w:eastAsiaTheme="minorHAnsi" w:hAnsiTheme="minorHAnsi" w:cstheme="minorBidi"/>
          <w:color w:val="000000" w:themeColor="text1"/>
          <w:kern w:val="2"/>
          <w:sz w:val="21"/>
          <w:szCs w:val="21"/>
        </w:rPr>
        <w:t>q=6x10^7kl</w:t>
      </w:r>
      <w:r w:rsidRPr="00F5126F">
        <w:rPr>
          <w:rFonts w:asciiTheme="minorHAnsi" w:eastAsiaTheme="minorHAnsi" w:hAnsiTheme="minorHAnsi" w:cstheme="minorBidi" w:hint="eastAsia"/>
          <w:color w:val="000000" w:themeColor="text1"/>
          <w:kern w:val="2"/>
          <w:sz w:val="21"/>
          <w:szCs w:val="21"/>
        </w:rPr>
        <w:t>（</w:t>
      </w:r>
      <w:r w:rsidRPr="00F5126F">
        <w:rPr>
          <w:rFonts w:asciiTheme="minorHAnsi" w:eastAsiaTheme="minorHAnsi" w:hAnsiTheme="minorHAnsi" w:cstheme="minorBidi"/>
          <w:color w:val="000000" w:themeColor="text1"/>
          <w:kern w:val="2"/>
          <w:sz w:val="21"/>
          <w:szCs w:val="21"/>
        </w:rPr>
        <w:t>2005</w:t>
      </w:r>
      <w:r w:rsidRPr="00F5126F">
        <w:rPr>
          <w:rFonts w:asciiTheme="minorHAnsi" w:eastAsiaTheme="minorHAnsi" w:hAnsiTheme="minorHAnsi" w:cstheme="minorBidi" w:hint="eastAsia"/>
          <w:color w:val="000000" w:themeColor="text1"/>
          <w:kern w:val="2"/>
          <w:sz w:val="21"/>
          <w:szCs w:val="21"/>
        </w:rPr>
        <w:t>年ごろ）から減少し、ガソリンの需要が年々鈍化している</w:t>
      </w:r>
      <w:r w:rsidRPr="00F5126F">
        <w:rPr>
          <w:rFonts w:asciiTheme="minorHAnsi" w:eastAsiaTheme="minorHAnsi" w:hAnsiTheme="minorHAnsi" w:cstheme="minorBidi"/>
          <w:color w:val="000000" w:themeColor="text1"/>
          <w:kern w:val="2"/>
          <w:sz w:val="21"/>
          <w:szCs w:val="21"/>
        </w:rPr>
        <w:t>ことがわかる。</w:t>
      </w:r>
    </w:p>
    <w:p w14:paraId="0A768FCD" w14:textId="77777777" w:rsidR="00726A67" w:rsidRDefault="00726A67" w:rsidP="00726A67">
      <w:pPr>
        <w:keepNext/>
        <w:jc w:val="center"/>
      </w:pPr>
      <w:r w:rsidRPr="003043AD">
        <w:rPr>
          <w:rFonts w:eastAsiaTheme="minorHAnsi"/>
          <w:noProof/>
          <w:color w:val="FF0000"/>
          <w:szCs w:val="21"/>
        </w:rPr>
        <w:drawing>
          <wp:inline distT="0" distB="0" distL="0" distR="0" wp14:anchorId="3A802E5C" wp14:editId="627F48ED">
            <wp:extent cx="3268409" cy="2358141"/>
            <wp:effectExtent l="0" t="0" r="825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68409" cy="2358141"/>
                    </a:xfrm>
                    <a:prstGeom prst="rect">
                      <a:avLst/>
                    </a:prstGeom>
                  </pic:spPr>
                </pic:pic>
              </a:graphicData>
            </a:graphic>
          </wp:inline>
        </w:drawing>
      </w:r>
    </w:p>
    <w:p w14:paraId="017761A6" w14:textId="77777777" w:rsidR="00726A67" w:rsidRPr="003043AD" w:rsidRDefault="00726A67" w:rsidP="00726A67">
      <w:pPr>
        <w:pStyle w:val="af3"/>
        <w:jc w:val="center"/>
        <w:rPr>
          <w:rFonts w:eastAsiaTheme="minorHAnsi"/>
          <w:color w:val="FF0000"/>
        </w:rPr>
      </w:pPr>
      <w:r>
        <w:t xml:space="preserve">Figure </w:t>
      </w:r>
      <w:fldSimple w:instr=" SEQ Figure \* ARABIC ">
        <w:r>
          <w:rPr>
            <w:noProof/>
          </w:rPr>
          <w:t>9</w:t>
        </w:r>
      </w:fldSimple>
      <w:r>
        <w:rPr>
          <w:rFonts w:hint="eastAsia"/>
        </w:rPr>
        <w:t xml:space="preserve">　ガソリン需給推移図</w:t>
      </w:r>
    </w:p>
    <w:p w14:paraId="5BE9DD4B" w14:textId="77777777" w:rsidR="00726A67" w:rsidRPr="003043AD" w:rsidRDefault="00726A67" w:rsidP="00726A67">
      <w:pPr>
        <w:rPr>
          <w:rFonts w:eastAsiaTheme="minorHAnsi"/>
          <w:b/>
          <w:color w:val="000000" w:themeColor="text1"/>
          <w:szCs w:val="21"/>
        </w:rPr>
      </w:pPr>
      <w:r w:rsidRPr="003043AD">
        <w:rPr>
          <w:rFonts w:eastAsiaTheme="minorHAnsi" w:hint="eastAsia"/>
          <w:b/>
          <w:color w:val="FF0000"/>
          <w:szCs w:val="21"/>
        </w:rPr>
        <w:t xml:space="preserve">　　　　　</w:t>
      </w:r>
      <w:r w:rsidRPr="003043AD">
        <w:rPr>
          <w:rFonts w:eastAsiaTheme="minorHAnsi" w:hint="eastAsia"/>
          <w:b/>
          <w:color w:val="000000" w:themeColor="text1"/>
          <w:szCs w:val="21"/>
        </w:rPr>
        <w:t xml:space="preserve">　　　　</w:t>
      </w:r>
    </w:p>
    <w:p w14:paraId="35DB64BC" w14:textId="77777777" w:rsidR="00726A67" w:rsidRPr="003043AD" w:rsidRDefault="00726A67" w:rsidP="00726A67">
      <w:pPr>
        <w:jc w:val="center"/>
        <w:rPr>
          <w:rFonts w:eastAsiaTheme="minorHAnsi"/>
          <w:b/>
          <w:color w:val="000000" w:themeColor="text1"/>
          <w:szCs w:val="21"/>
        </w:rPr>
      </w:pPr>
      <w:r w:rsidRPr="003043AD">
        <w:rPr>
          <w:rFonts w:eastAsiaTheme="minorHAnsi" w:hint="eastAsia"/>
          <w:color w:val="000000" w:themeColor="text1"/>
          <w:szCs w:val="21"/>
        </w:rPr>
        <w:t>（出所：経済産業省・資源エネルギー庁「エネルギー生産需給統計年報」及び総務省統計局 「小売物価統計調査（動向編）」の統計情報から作成）</w:t>
      </w:r>
    </w:p>
    <w:p w14:paraId="3CB4411C" w14:textId="77777777" w:rsidR="00726A67" w:rsidRPr="003043AD" w:rsidRDefault="00726A67" w:rsidP="00726A67">
      <w:pPr>
        <w:rPr>
          <w:rFonts w:eastAsiaTheme="minorHAnsi"/>
          <w:b/>
          <w:color w:val="FF0000"/>
          <w:szCs w:val="21"/>
        </w:rPr>
      </w:pPr>
    </w:p>
    <w:p w14:paraId="6A32AD94" w14:textId="77777777" w:rsidR="00726A67" w:rsidRPr="00526577" w:rsidRDefault="00726A67" w:rsidP="00726A67">
      <w:pPr>
        <w:ind w:firstLineChars="100" w:firstLine="206"/>
        <w:rPr>
          <w:rFonts w:eastAsiaTheme="minorHAnsi"/>
          <w:b/>
          <w:color w:val="000000" w:themeColor="text1"/>
          <w:szCs w:val="21"/>
        </w:rPr>
      </w:pPr>
      <w:r>
        <w:rPr>
          <w:rFonts w:eastAsiaTheme="minorHAnsi"/>
          <w:b/>
          <w:color w:val="000000" w:themeColor="text1"/>
          <w:szCs w:val="21"/>
        </w:rPr>
        <w:t>3.2</w:t>
      </w:r>
      <w:r>
        <w:rPr>
          <w:rFonts w:eastAsiaTheme="minorHAnsi" w:hint="eastAsia"/>
          <w:b/>
          <w:color w:val="000000" w:themeColor="text1"/>
          <w:szCs w:val="21"/>
        </w:rPr>
        <w:t>分析手法</w:t>
      </w:r>
    </w:p>
    <w:p w14:paraId="353A01E0" w14:textId="77777777" w:rsidR="00726A67" w:rsidRPr="00526577" w:rsidRDefault="00726A67" w:rsidP="00726A67">
      <w:pPr>
        <w:rPr>
          <w:rFonts w:eastAsiaTheme="minorHAnsi"/>
          <w:color w:val="000000" w:themeColor="text1"/>
          <w:szCs w:val="21"/>
        </w:rPr>
      </w:pPr>
      <w:r w:rsidRPr="003043AD">
        <w:rPr>
          <w:rFonts w:eastAsiaTheme="minorHAnsi" w:hint="eastAsia"/>
          <w:color w:val="000000" w:themeColor="text1"/>
          <w:szCs w:val="21"/>
        </w:rPr>
        <w:t xml:space="preserve">　本分析では、自動車関連税制の効果分析にあたって、最適税率を試算するために必要となる国内消費者向けのガソリン需給モデルにおける価格弾力性の測定、並びに市場環境に影響を与える可能性のある戦争や</w:t>
      </w:r>
      <w:r>
        <w:rPr>
          <w:rFonts w:eastAsiaTheme="minorHAnsi" w:hint="eastAsia"/>
          <w:color w:val="000000" w:themeColor="text1"/>
          <w:szCs w:val="21"/>
        </w:rPr>
        <w:t>エコカー</w:t>
      </w:r>
      <w:r w:rsidRPr="003043AD">
        <w:rPr>
          <w:rFonts w:eastAsiaTheme="minorHAnsi" w:hint="eastAsia"/>
          <w:color w:val="000000" w:themeColor="text1"/>
          <w:szCs w:val="21"/>
        </w:rPr>
        <w:t>減税政策を含む外部要因</w:t>
      </w:r>
      <w:r w:rsidRPr="003043AD">
        <w:rPr>
          <w:rFonts w:eastAsiaTheme="minorHAnsi"/>
          <w:color w:val="000000" w:themeColor="text1"/>
          <w:szCs w:val="21"/>
        </w:rPr>
        <w:t>ダミー</w:t>
      </w:r>
      <w:r w:rsidRPr="003043AD">
        <w:rPr>
          <w:rFonts w:eastAsiaTheme="minorHAnsi" w:hint="eastAsia"/>
          <w:color w:val="000000" w:themeColor="text1"/>
          <w:szCs w:val="21"/>
        </w:rPr>
        <w:t>変数</w:t>
      </w:r>
      <w:r w:rsidRPr="003043AD">
        <w:rPr>
          <w:rFonts w:eastAsiaTheme="minorHAnsi"/>
          <w:color w:val="000000" w:themeColor="text1"/>
          <w:szCs w:val="21"/>
        </w:rPr>
        <w:t>の有意性及び係数の値の導出にあたり、以下の手順をとった。まず、Box-Jenkins法</w:t>
      </w:r>
      <w:r w:rsidRPr="003043AD">
        <w:rPr>
          <w:rStyle w:val="a5"/>
          <w:rFonts w:eastAsiaTheme="minorHAnsi"/>
          <w:color w:val="000000" w:themeColor="text1"/>
          <w:szCs w:val="21"/>
        </w:rPr>
        <w:footnoteReference w:id="15"/>
      </w:r>
      <w:r w:rsidRPr="003043AD">
        <w:rPr>
          <w:rFonts w:eastAsiaTheme="minorHAnsi"/>
          <w:color w:val="000000" w:themeColor="text1"/>
          <w:szCs w:val="21"/>
        </w:rPr>
        <w:t>（定常化解析法）に従い、対象品目の</w:t>
      </w:r>
      <w:r w:rsidRPr="003043AD">
        <w:rPr>
          <w:rFonts w:eastAsiaTheme="minorHAnsi" w:hint="eastAsia"/>
          <w:color w:val="000000" w:themeColor="text1"/>
          <w:szCs w:val="21"/>
        </w:rPr>
        <w:t>取扱数量</w:t>
      </w:r>
      <w:r w:rsidRPr="003043AD">
        <w:rPr>
          <w:rFonts w:eastAsiaTheme="minorHAnsi"/>
          <w:color w:val="000000" w:themeColor="text1"/>
          <w:szCs w:val="21"/>
        </w:rPr>
        <w:t>と価格についてGranger因果性検定を行った。因果方向性判定</w:t>
      </w:r>
      <w:r w:rsidRPr="003043AD">
        <w:rPr>
          <w:rFonts w:eastAsiaTheme="minorHAnsi"/>
          <w:color w:val="000000" w:themeColor="text1"/>
          <w:szCs w:val="21"/>
        </w:rPr>
        <w:lastRenderedPageBreak/>
        <w:t>の結果により、</w:t>
      </w:r>
      <w:r w:rsidRPr="003043AD">
        <w:rPr>
          <w:rFonts w:eastAsiaTheme="minorHAnsi" w:hint="eastAsia"/>
          <w:color w:val="000000" w:themeColor="text1"/>
          <w:szCs w:val="21"/>
        </w:rPr>
        <w:t>ガソリンの取扱数量、</w:t>
      </w:r>
      <w:r w:rsidRPr="003043AD">
        <w:rPr>
          <w:rFonts w:eastAsiaTheme="minorHAnsi"/>
          <w:color w:val="000000" w:themeColor="text1"/>
          <w:szCs w:val="21"/>
        </w:rPr>
        <w:t>価格の逆因果性が存在することが認められたため、逆因果性がある場合でも自己相関モデルで同時推計可能なVector Auto Regression (以下VAR)モデルを選択するこ</w:t>
      </w:r>
      <w:r w:rsidRPr="003043AD">
        <w:rPr>
          <w:rFonts w:eastAsiaTheme="minorHAnsi" w:hint="eastAsia"/>
          <w:color w:val="000000" w:themeColor="text1"/>
          <w:szCs w:val="21"/>
        </w:rPr>
        <w:t>とにした。</w:t>
      </w:r>
    </w:p>
    <w:p w14:paraId="0D66B290" w14:textId="77777777" w:rsidR="00726A67" w:rsidRPr="003043AD" w:rsidRDefault="00726A67" w:rsidP="00726A67">
      <w:pPr>
        <w:rPr>
          <w:rFonts w:eastAsiaTheme="minorHAnsi"/>
          <w:color w:val="000000" w:themeColor="text1"/>
          <w:szCs w:val="21"/>
        </w:rPr>
      </w:pPr>
      <w:r w:rsidRPr="003043AD">
        <w:rPr>
          <w:rFonts w:eastAsiaTheme="minorHAnsi" w:hint="eastAsia"/>
          <w:color w:val="FF0000"/>
          <w:szCs w:val="21"/>
        </w:rPr>
        <w:t xml:space="preserve">　</w:t>
      </w:r>
      <w:r w:rsidRPr="003043AD">
        <w:rPr>
          <w:rFonts w:eastAsiaTheme="minorHAnsi" w:hint="eastAsia"/>
          <w:color w:val="000000" w:themeColor="text1"/>
          <w:szCs w:val="21"/>
        </w:rPr>
        <w:t>本分析では、</w:t>
      </w:r>
      <w:r w:rsidRPr="003043AD">
        <w:rPr>
          <w:rFonts w:eastAsiaTheme="minorHAnsi"/>
          <w:color w:val="000000" w:themeColor="text1"/>
          <w:szCs w:val="21"/>
        </w:rPr>
        <w:t>1974-2016</w:t>
      </w:r>
      <w:r w:rsidRPr="003043AD">
        <w:rPr>
          <w:rFonts w:eastAsiaTheme="minorHAnsi" w:hint="eastAsia"/>
          <w:color w:val="000000" w:themeColor="text1"/>
          <w:szCs w:val="21"/>
        </w:rPr>
        <w:t>年</w:t>
      </w:r>
      <w:r w:rsidRPr="003043AD">
        <w:rPr>
          <w:rFonts w:eastAsiaTheme="minorHAnsi"/>
          <w:color w:val="000000" w:themeColor="text1"/>
          <w:szCs w:val="21"/>
        </w:rPr>
        <w:t>の43</w:t>
      </w:r>
      <w:r w:rsidRPr="003043AD">
        <w:rPr>
          <w:rFonts w:eastAsiaTheme="minorHAnsi" w:hint="eastAsia"/>
          <w:color w:val="000000" w:themeColor="text1"/>
          <w:szCs w:val="21"/>
        </w:rPr>
        <w:t>年間</w:t>
      </w:r>
      <w:r w:rsidRPr="003043AD">
        <w:rPr>
          <w:rFonts w:eastAsiaTheme="minorHAnsi"/>
          <w:color w:val="000000" w:themeColor="text1"/>
          <w:szCs w:val="21"/>
        </w:rPr>
        <w:t>の</w:t>
      </w:r>
      <w:r w:rsidRPr="003043AD">
        <w:rPr>
          <w:rFonts w:eastAsiaTheme="minorHAnsi" w:hint="eastAsia"/>
          <w:color w:val="000000" w:themeColor="text1"/>
          <w:szCs w:val="21"/>
        </w:rPr>
        <w:t>日本国内</w:t>
      </w:r>
      <w:r w:rsidRPr="003043AD">
        <w:rPr>
          <w:rFonts w:eastAsiaTheme="minorHAnsi"/>
          <w:color w:val="000000" w:themeColor="text1"/>
          <w:szCs w:val="21"/>
        </w:rPr>
        <w:t>で取引された</w:t>
      </w:r>
      <w:r w:rsidRPr="003043AD">
        <w:rPr>
          <w:rFonts w:eastAsiaTheme="minorHAnsi" w:hint="eastAsia"/>
          <w:color w:val="000000" w:themeColor="text1"/>
          <w:szCs w:val="21"/>
        </w:rPr>
        <w:t>ガソリン</w:t>
      </w:r>
      <w:r w:rsidRPr="003043AD">
        <w:rPr>
          <w:rFonts w:eastAsiaTheme="minorHAnsi"/>
          <w:color w:val="000000" w:themeColor="text1"/>
          <w:szCs w:val="21"/>
        </w:rPr>
        <w:t>の</w:t>
      </w:r>
      <w:r w:rsidRPr="003043AD">
        <w:rPr>
          <w:rFonts w:eastAsiaTheme="minorHAnsi" w:hint="eastAsia"/>
          <w:color w:val="000000" w:themeColor="text1"/>
          <w:szCs w:val="21"/>
        </w:rPr>
        <w:t>販売</w:t>
      </w:r>
      <w:r w:rsidRPr="003043AD">
        <w:rPr>
          <w:rFonts w:eastAsiaTheme="minorHAnsi"/>
          <w:color w:val="000000" w:themeColor="text1"/>
          <w:szCs w:val="21"/>
        </w:rPr>
        <w:t>数量（kl）と</w:t>
      </w:r>
      <w:r w:rsidRPr="003043AD">
        <w:rPr>
          <w:rFonts w:eastAsiaTheme="minorHAnsi" w:hint="eastAsia"/>
          <w:color w:val="000000" w:themeColor="text1"/>
          <w:szCs w:val="21"/>
        </w:rPr>
        <w:t>年</w:t>
      </w:r>
      <w:r w:rsidRPr="003043AD">
        <w:rPr>
          <w:rFonts w:eastAsiaTheme="minorHAnsi"/>
          <w:color w:val="000000" w:themeColor="text1"/>
          <w:szCs w:val="21"/>
        </w:rPr>
        <w:t>平均価格（円）</w:t>
      </w:r>
      <w:r w:rsidRPr="003043AD">
        <w:rPr>
          <w:rFonts w:eastAsiaTheme="minorHAnsi" w:hint="eastAsia"/>
          <w:color w:val="000000" w:themeColor="text1"/>
          <w:szCs w:val="21"/>
        </w:rPr>
        <w:t>データ</w:t>
      </w:r>
      <w:r w:rsidRPr="003043AD">
        <w:rPr>
          <w:rFonts w:eastAsiaTheme="minorHAnsi"/>
          <w:color w:val="000000" w:themeColor="text1"/>
          <w:szCs w:val="21"/>
        </w:rPr>
        <w:t>を用いた。また、モデルに含める外生変数には</w:t>
      </w:r>
      <w:r w:rsidRPr="003043AD">
        <w:rPr>
          <w:rFonts w:eastAsiaTheme="minorHAnsi" w:hint="eastAsia"/>
          <w:color w:val="000000" w:themeColor="text1"/>
          <w:szCs w:val="21"/>
        </w:rPr>
        <w:t>実質GDPやPPI並びにエコカー減税政策を含めた六つのダミー変数</w:t>
      </w:r>
      <w:r w:rsidRPr="003043AD">
        <w:rPr>
          <w:rFonts w:eastAsiaTheme="minorHAnsi"/>
          <w:color w:val="000000" w:themeColor="text1"/>
          <w:szCs w:val="21"/>
        </w:rPr>
        <w:t>を選択した。データの詳細は図表6-2</w:t>
      </w:r>
      <w:r w:rsidRPr="003043AD">
        <w:rPr>
          <w:rFonts w:eastAsiaTheme="minorHAnsi" w:hint="eastAsia"/>
          <w:color w:val="000000" w:themeColor="text1"/>
          <w:szCs w:val="21"/>
        </w:rPr>
        <w:t>の</w:t>
      </w:r>
      <w:r w:rsidRPr="003043AD">
        <w:rPr>
          <w:rFonts w:eastAsiaTheme="minorHAnsi"/>
          <w:color w:val="000000" w:themeColor="text1"/>
          <w:szCs w:val="21"/>
        </w:rPr>
        <w:t>通り</w:t>
      </w:r>
      <w:r w:rsidRPr="003043AD">
        <w:rPr>
          <w:rFonts w:eastAsiaTheme="minorHAnsi" w:hint="eastAsia"/>
          <w:color w:val="000000" w:themeColor="text1"/>
          <w:szCs w:val="21"/>
        </w:rPr>
        <w:t>である</w:t>
      </w:r>
      <w:r w:rsidRPr="003043AD">
        <w:rPr>
          <w:rFonts w:eastAsiaTheme="minorHAnsi"/>
          <w:color w:val="000000" w:themeColor="text1"/>
          <w:szCs w:val="21"/>
        </w:rPr>
        <w:t>。</w:t>
      </w:r>
    </w:p>
    <w:p w14:paraId="37DCFD07" w14:textId="77777777" w:rsidR="00726A67" w:rsidRPr="003043AD" w:rsidRDefault="00726A67" w:rsidP="00726A67">
      <w:pPr>
        <w:rPr>
          <w:rFonts w:eastAsiaTheme="minorHAnsi"/>
          <w:color w:val="000000" w:themeColor="text1"/>
          <w:szCs w:val="21"/>
        </w:rPr>
      </w:pPr>
    </w:p>
    <w:p w14:paraId="33E3D0A8" w14:textId="77777777" w:rsidR="00726A67" w:rsidRPr="003043AD" w:rsidRDefault="00726A67" w:rsidP="00726A67">
      <w:pPr>
        <w:rPr>
          <w:rFonts w:eastAsiaTheme="minorHAnsi"/>
          <w:color w:val="000000" w:themeColor="text1"/>
          <w:szCs w:val="21"/>
        </w:rPr>
      </w:pPr>
    </w:p>
    <w:tbl>
      <w:tblPr>
        <w:tblStyle w:val="a6"/>
        <w:tblW w:w="0" w:type="auto"/>
        <w:tblInd w:w="720" w:type="dxa"/>
        <w:tblLook w:val="04A0" w:firstRow="1" w:lastRow="0" w:firstColumn="1" w:lastColumn="0" w:noHBand="0" w:noVBand="1"/>
      </w:tblPr>
      <w:tblGrid>
        <w:gridCol w:w="1685"/>
        <w:gridCol w:w="5951"/>
      </w:tblGrid>
      <w:tr w:rsidR="00726A67" w:rsidRPr="003043AD" w14:paraId="117C2BF7" w14:textId="77777777" w:rsidTr="00726A67">
        <w:trPr>
          <w:trHeight w:val="313"/>
        </w:trPr>
        <w:tc>
          <w:tcPr>
            <w:tcW w:w="1685" w:type="dxa"/>
          </w:tcPr>
          <w:p w14:paraId="45C89213" w14:textId="77777777" w:rsidR="00726A67" w:rsidRPr="003043AD" w:rsidRDefault="00726A67" w:rsidP="00726A67">
            <w:pPr>
              <w:jc w:val="cente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指標</w:t>
            </w:r>
          </w:p>
        </w:tc>
        <w:tc>
          <w:tcPr>
            <w:tcW w:w="5951" w:type="dxa"/>
          </w:tcPr>
          <w:p w14:paraId="3A98C2F6" w14:textId="77777777" w:rsidR="00726A67" w:rsidRPr="003043AD" w:rsidRDefault="00726A67" w:rsidP="00726A67">
            <w:pPr>
              <w:jc w:val="cente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詳細及び出所</w:t>
            </w:r>
          </w:p>
        </w:tc>
      </w:tr>
      <w:tr w:rsidR="00726A67" w:rsidRPr="003043AD" w14:paraId="57DCAB71" w14:textId="77777777" w:rsidTr="00726A67">
        <w:trPr>
          <w:trHeight w:val="301"/>
        </w:trPr>
        <w:tc>
          <w:tcPr>
            <w:tcW w:w="1685" w:type="dxa"/>
          </w:tcPr>
          <w:p w14:paraId="63AF58FA"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sidRPr="003043AD">
              <w:rPr>
                <w:rFonts w:eastAsiaTheme="minorHAnsi" w:hint="eastAsia"/>
                <w:b/>
                <w:bCs/>
                <w:color w:val="000000" w:themeColor="text1"/>
                <w:sz w:val="18"/>
                <w:szCs w:val="18"/>
                <w:u w:val="single"/>
                <w:shd w:val="clear" w:color="auto" w:fill="FFFFFF"/>
              </w:rPr>
              <w:t>qgaso</w:t>
            </w:r>
            <w:proofErr w:type="spellEnd"/>
          </w:p>
        </w:tc>
        <w:tc>
          <w:tcPr>
            <w:tcW w:w="5951" w:type="dxa"/>
          </w:tcPr>
          <w:p w14:paraId="58F55C24"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ガソリンの</w:t>
            </w:r>
            <w:r>
              <w:rPr>
                <w:rFonts w:eastAsiaTheme="minorHAnsi" w:hint="eastAsia"/>
                <w:color w:val="000000" w:themeColor="text1"/>
                <w:sz w:val="18"/>
                <w:szCs w:val="18"/>
                <w:shd w:val="clear" w:color="auto" w:fill="FFFFFF"/>
              </w:rPr>
              <w:t>国内向販売</w:t>
            </w:r>
            <w:r w:rsidRPr="00A84885">
              <w:rPr>
                <w:rFonts w:eastAsiaTheme="minorHAnsi"/>
                <w:color w:val="000000" w:themeColor="text1"/>
                <w:sz w:val="18"/>
                <w:szCs w:val="18"/>
                <w:shd w:val="clear" w:color="auto" w:fill="FFFFFF"/>
              </w:rPr>
              <w:t xml:space="preserve"> </w:t>
            </w:r>
            <w:r w:rsidRPr="00A84885">
              <w:rPr>
                <w:rFonts w:eastAsiaTheme="minorHAnsi" w:hint="eastAsia"/>
                <w:color w:val="000000" w:themeColor="text1"/>
                <w:sz w:val="18"/>
                <w:szCs w:val="18"/>
                <w:shd w:val="clear" w:color="auto" w:fill="FFFFFF"/>
              </w:rPr>
              <w:t>（経済産業省・資源エネルギー庁「エネルギー生産需給統計年報」石油製品国内向月別販売（年次データ））</w:t>
            </w:r>
          </w:p>
        </w:tc>
      </w:tr>
      <w:tr w:rsidR="00726A67" w:rsidRPr="003043AD" w14:paraId="6DCB5B9B" w14:textId="77777777" w:rsidTr="00726A67">
        <w:trPr>
          <w:trHeight w:val="313"/>
        </w:trPr>
        <w:tc>
          <w:tcPr>
            <w:tcW w:w="1685" w:type="dxa"/>
          </w:tcPr>
          <w:p w14:paraId="47A9EA23"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Pr>
                <w:rFonts w:eastAsiaTheme="minorHAnsi"/>
                <w:b/>
                <w:bCs/>
                <w:color w:val="000000" w:themeColor="text1"/>
                <w:sz w:val="18"/>
                <w:szCs w:val="18"/>
                <w:shd w:val="clear" w:color="auto" w:fill="FFFFFF"/>
              </w:rPr>
              <w:t>real</w:t>
            </w:r>
            <w:r w:rsidRPr="003043AD">
              <w:rPr>
                <w:rFonts w:eastAsiaTheme="minorHAnsi" w:hint="eastAsia"/>
                <w:b/>
                <w:bCs/>
                <w:color w:val="000000" w:themeColor="text1"/>
                <w:sz w:val="18"/>
                <w:szCs w:val="18"/>
                <w:shd w:val="clear" w:color="auto" w:fill="FFFFFF"/>
              </w:rPr>
              <w:t>pgaso</w:t>
            </w:r>
            <w:proofErr w:type="spellEnd"/>
          </w:p>
        </w:tc>
        <w:tc>
          <w:tcPr>
            <w:tcW w:w="5951" w:type="dxa"/>
          </w:tcPr>
          <w:p w14:paraId="5C88239E"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ガソリンの全国</w:t>
            </w:r>
            <w:r>
              <w:rPr>
                <w:rFonts w:eastAsiaTheme="minorHAnsi" w:hint="eastAsia"/>
                <w:color w:val="000000" w:themeColor="text1"/>
                <w:sz w:val="18"/>
                <w:szCs w:val="18"/>
                <w:shd w:val="clear" w:color="auto" w:fill="FFFFFF"/>
              </w:rPr>
              <w:t>実質</w:t>
            </w:r>
            <w:r w:rsidRPr="003043AD">
              <w:rPr>
                <w:rFonts w:eastAsiaTheme="minorHAnsi" w:hint="eastAsia"/>
                <w:color w:val="000000" w:themeColor="text1"/>
                <w:sz w:val="18"/>
                <w:szCs w:val="18"/>
                <w:shd w:val="clear" w:color="auto" w:fill="FFFFFF"/>
              </w:rPr>
              <w:t>平均価格</w:t>
            </w:r>
            <w:r w:rsidRPr="003043AD">
              <w:rPr>
                <w:rFonts w:eastAsiaTheme="minorHAnsi"/>
                <w:color w:val="000000" w:themeColor="text1"/>
                <w:sz w:val="18"/>
                <w:szCs w:val="18"/>
                <w:shd w:val="clear" w:color="auto" w:fill="FFFFFF"/>
              </w:rPr>
              <w:t xml:space="preserve"> </w:t>
            </w:r>
            <w:r w:rsidRPr="003043AD">
              <w:rPr>
                <w:rFonts w:eastAsiaTheme="minorHAnsi" w:hint="eastAsia"/>
                <w:color w:val="000000" w:themeColor="text1"/>
                <w:sz w:val="18"/>
                <w:szCs w:val="18"/>
                <w:shd w:val="clear" w:color="auto" w:fill="FFFFFF"/>
              </w:rPr>
              <w:t>（総務省統計局 「小売物価統計調査（動向編）」県庁所在市及び人口15万以上の市の自動車ガソリンレギュラー価格（全国平均を計算）</w:t>
            </w:r>
            <w:r>
              <w:rPr>
                <w:rFonts w:eastAsiaTheme="minorHAnsi" w:hint="eastAsia"/>
                <w:color w:val="000000" w:themeColor="text1"/>
                <w:sz w:val="18"/>
                <w:szCs w:val="18"/>
                <w:shd w:val="clear" w:color="auto" w:fill="FFFFFF"/>
              </w:rPr>
              <w:t>、物価指数調整済み</w:t>
            </w:r>
            <w:r w:rsidRPr="003043AD">
              <w:rPr>
                <w:rFonts w:eastAsiaTheme="minorHAnsi" w:hint="eastAsia"/>
                <w:color w:val="000000" w:themeColor="text1"/>
                <w:sz w:val="18"/>
                <w:szCs w:val="18"/>
                <w:shd w:val="clear" w:color="auto" w:fill="FFFFFF"/>
              </w:rPr>
              <w:t>）</w:t>
            </w:r>
          </w:p>
        </w:tc>
      </w:tr>
      <w:tr w:rsidR="00726A67" w:rsidRPr="003043AD" w14:paraId="78ECAA04" w14:textId="77777777" w:rsidTr="00726A67">
        <w:trPr>
          <w:trHeight w:val="437"/>
        </w:trPr>
        <w:tc>
          <w:tcPr>
            <w:tcW w:w="1685" w:type="dxa"/>
          </w:tcPr>
          <w:p w14:paraId="2D864923"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sidRPr="003043AD">
              <w:rPr>
                <w:rFonts w:eastAsiaTheme="minorHAnsi" w:hint="eastAsia"/>
                <w:b/>
                <w:bCs/>
                <w:color w:val="000000" w:themeColor="text1"/>
                <w:sz w:val="18"/>
                <w:szCs w:val="18"/>
                <w:shd w:val="clear" w:color="auto" w:fill="FFFFFF"/>
              </w:rPr>
              <w:t>realgdp</w:t>
            </w:r>
            <w:proofErr w:type="spellEnd"/>
          </w:p>
        </w:tc>
        <w:tc>
          <w:tcPr>
            <w:tcW w:w="5951" w:type="dxa"/>
          </w:tcPr>
          <w:p w14:paraId="13B09910" w14:textId="77777777" w:rsidR="00726A67" w:rsidRPr="003043AD" w:rsidRDefault="00726A67" w:rsidP="00726A67">
            <w:pPr>
              <w:rPr>
                <w:rFonts w:eastAsiaTheme="minorHAnsi"/>
                <w:color w:val="000000" w:themeColor="text1"/>
                <w:sz w:val="18"/>
                <w:szCs w:val="18"/>
                <w:shd w:val="clear" w:color="auto" w:fill="FFFFFF"/>
                <w:lang w:eastAsia="zh-CN"/>
              </w:rPr>
            </w:pPr>
            <w:r w:rsidRPr="003043AD">
              <w:rPr>
                <w:rFonts w:eastAsiaTheme="minorHAnsi" w:hint="eastAsia"/>
                <w:color w:val="000000" w:themeColor="text1"/>
                <w:sz w:val="18"/>
                <w:szCs w:val="18"/>
                <w:shd w:val="clear" w:color="auto" w:fill="FFFFFF"/>
                <w:lang w:eastAsia="zh-CN"/>
              </w:rPr>
              <w:t>実質GDP</w:t>
            </w:r>
            <w:r w:rsidRPr="003043AD">
              <w:rPr>
                <w:rFonts w:eastAsiaTheme="minorHAnsi"/>
                <w:color w:val="000000" w:themeColor="text1"/>
                <w:sz w:val="18"/>
                <w:szCs w:val="18"/>
                <w:shd w:val="clear" w:color="auto" w:fill="FFFFFF"/>
                <w:lang w:eastAsia="zh-CN"/>
              </w:rPr>
              <w:t xml:space="preserve"> </w:t>
            </w:r>
            <w:r w:rsidRPr="003043AD">
              <w:rPr>
                <w:rFonts w:eastAsiaTheme="minorHAnsi" w:hint="eastAsia"/>
                <w:color w:val="000000" w:themeColor="text1"/>
                <w:sz w:val="18"/>
                <w:szCs w:val="18"/>
                <w:shd w:val="clear" w:color="auto" w:fill="FFFFFF"/>
                <w:lang w:eastAsia="zh-CN"/>
              </w:rPr>
              <w:t>（内閣府「国民経済計算（実質GDP）」）</w:t>
            </w:r>
          </w:p>
        </w:tc>
      </w:tr>
      <w:tr w:rsidR="00726A67" w:rsidRPr="003043AD" w14:paraId="7DF9775B" w14:textId="77777777" w:rsidTr="00726A67">
        <w:trPr>
          <w:trHeight w:val="437"/>
        </w:trPr>
        <w:tc>
          <w:tcPr>
            <w:tcW w:w="1685" w:type="dxa"/>
          </w:tcPr>
          <w:p w14:paraId="2A4345EE" w14:textId="77777777" w:rsidR="00726A67" w:rsidRPr="003043AD" w:rsidRDefault="00726A67" w:rsidP="00726A67">
            <w:pPr>
              <w:jc w:val="center"/>
              <w:rPr>
                <w:rFonts w:eastAsiaTheme="minorHAnsi"/>
                <w:b/>
                <w:bCs/>
                <w:color w:val="000000" w:themeColor="text1"/>
                <w:sz w:val="18"/>
                <w:szCs w:val="18"/>
                <w:shd w:val="clear" w:color="auto" w:fill="FFFFFF"/>
              </w:rPr>
            </w:pPr>
            <w:proofErr w:type="spellStart"/>
            <w:r>
              <w:rPr>
                <w:rFonts w:eastAsiaTheme="minorHAnsi"/>
                <w:b/>
                <w:bCs/>
                <w:color w:val="000000" w:themeColor="text1"/>
                <w:sz w:val="18"/>
                <w:szCs w:val="18"/>
                <w:shd w:val="clear" w:color="auto" w:fill="FFFFFF"/>
              </w:rPr>
              <w:t>realoilprice</w:t>
            </w:r>
            <w:proofErr w:type="spellEnd"/>
          </w:p>
        </w:tc>
        <w:tc>
          <w:tcPr>
            <w:tcW w:w="5951" w:type="dxa"/>
          </w:tcPr>
          <w:p w14:paraId="71DE7348" w14:textId="77777777" w:rsidR="00726A67" w:rsidRPr="00237CF4" w:rsidRDefault="00726A67" w:rsidP="00726A67">
            <w:pPr>
              <w:pStyle w:val="1"/>
              <w:spacing w:line="210" w:lineRule="atLeast"/>
              <w:rPr>
                <w:rFonts w:ascii="ヒラギノ角ゴ Pro W3" w:eastAsia="ヒラギノ角ゴ Pro W3" w:hAnsi="ヒラギノ角ゴ Pro W3" w:cs="Times New Roman"/>
                <w:color w:val="3D3A39"/>
                <w:kern w:val="36"/>
                <w:sz w:val="18"/>
                <w:szCs w:val="18"/>
              </w:rPr>
            </w:pPr>
            <w:r>
              <w:rPr>
                <w:rFonts w:eastAsiaTheme="minorHAnsi" w:hint="eastAsia"/>
                <w:color w:val="000000" w:themeColor="text1"/>
                <w:sz w:val="18"/>
                <w:szCs w:val="18"/>
                <w:shd w:val="clear" w:color="auto" w:fill="FFFFFF"/>
              </w:rPr>
              <w:t>実質原油価格（新電力ネット「</w:t>
            </w:r>
            <w:r w:rsidRPr="00237CF4">
              <w:rPr>
                <w:rFonts w:ascii="ヒラギノ角ゴ Pro W3" w:eastAsia="ヒラギノ角ゴ Pro W3" w:hAnsi="ヒラギノ角ゴ Pro W3" w:cs="Times New Roman" w:hint="eastAsia"/>
                <w:color w:val="3D3A39"/>
                <w:kern w:val="36"/>
                <w:sz w:val="18"/>
                <w:szCs w:val="18"/>
              </w:rPr>
              <w:t>原油価格の推移（WTI/ブレント/ドバイ/OPECバスケット）</w:t>
            </w:r>
            <w:r>
              <w:rPr>
                <w:rFonts w:eastAsiaTheme="minorHAnsi" w:hint="eastAsia"/>
                <w:color w:val="000000" w:themeColor="text1"/>
                <w:sz w:val="18"/>
                <w:szCs w:val="18"/>
                <w:shd w:val="clear" w:color="auto" w:fill="FFFFFF"/>
              </w:rPr>
              <w:t>」）</w:t>
            </w:r>
          </w:p>
        </w:tc>
      </w:tr>
      <w:tr w:rsidR="00726A67" w:rsidRPr="003312AA" w14:paraId="6C031BE8" w14:textId="77777777" w:rsidTr="00726A67">
        <w:trPr>
          <w:trHeight w:val="301"/>
        </w:trPr>
        <w:tc>
          <w:tcPr>
            <w:tcW w:w="1685" w:type="dxa"/>
          </w:tcPr>
          <w:p w14:paraId="6664D4F8"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sidRPr="003043AD">
              <w:rPr>
                <w:rFonts w:eastAsiaTheme="minorHAnsi"/>
                <w:b/>
                <w:bCs/>
                <w:color w:val="000000" w:themeColor="text1"/>
                <w:sz w:val="18"/>
                <w:szCs w:val="18"/>
                <w:shd w:val="clear" w:color="auto" w:fill="FFFFFF"/>
              </w:rPr>
              <w:t>ppi</w:t>
            </w:r>
            <w:proofErr w:type="spellEnd"/>
          </w:p>
        </w:tc>
        <w:tc>
          <w:tcPr>
            <w:tcW w:w="5951" w:type="dxa"/>
          </w:tcPr>
          <w:p w14:paraId="454B121F" w14:textId="77777777" w:rsidR="00726A67" w:rsidRPr="003312AA" w:rsidRDefault="00726A67" w:rsidP="00726A67">
            <w:pPr>
              <w:rPr>
                <w:rFonts w:ascii="ヒラギノ角ゴ Pro W3" w:eastAsia="ヒラギノ角ゴ Pro W3" w:hAnsi="ヒラギノ角ゴ Pro W3" w:cs="Times New Roman"/>
                <w:color w:val="3D3A39"/>
                <w:kern w:val="36"/>
                <w:sz w:val="18"/>
                <w:szCs w:val="18"/>
                <w:lang w:eastAsia="zh-CN"/>
              </w:rPr>
            </w:pPr>
            <w:r w:rsidRPr="003312AA">
              <w:rPr>
                <w:rFonts w:ascii="ヒラギノ角ゴ Pro W3" w:eastAsia="ヒラギノ角ゴ Pro W3" w:hAnsi="ヒラギノ角ゴ Pro W3" w:cs="Times New Roman" w:hint="eastAsia"/>
                <w:color w:val="3D3A39"/>
                <w:kern w:val="36"/>
                <w:sz w:val="18"/>
                <w:szCs w:val="18"/>
                <w:lang w:eastAsia="zh-CN"/>
              </w:rPr>
              <w:t>卸売物価指数</w:t>
            </w:r>
            <w:r w:rsidRPr="003312AA">
              <w:rPr>
                <w:rFonts w:ascii="ヒラギノ角ゴ Pro W3" w:eastAsia="ヒラギノ角ゴ Pro W3" w:hAnsi="ヒラギノ角ゴ Pro W3" w:cs="Times New Roman"/>
                <w:color w:val="3D3A39"/>
                <w:kern w:val="36"/>
                <w:sz w:val="18"/>
                <w:szCs w:val="18"/>
                <w:lang w:eastAsia="zh-CN"/>
              </w:rPr>
              <w:t xml:space="preserve"> (</w:t>
            </w:r>
            <w:r w:rsidRPr="003312AA">
              <w:rPr>
                <w:rFonts w:ascii="ヒラギノ角ゴ Pro W3" w:eastAsia="ヒラギノ角ゴ Pro W3" w:hAnsi="ヒラギノ角ゴ Pro W3" w:cs="Times New Roman" w:hint="eastAsia"/>
                <w:color w:val="3D3A39"/>
                <w:kern w:val="36"/>
                <w:sz w:val="18"/>
                <w:szCs w:val="18"/>
                <w:lang w:eastAsia="zh-CN"/>
              </w:rPr>
              <w:t>日本銀行「企業物価指数（2010年基準）」)</w:t>
            </w:r>
          </w:p>
        </w:tc>
      </w:tr>
      <w:tr w:rsidR="00726A67" w:rsidRPr="003043AD" w14:paraId="459C3BDF" w14:textId="77777777" w:rsidTr="00726A67">
        <w:trPr>
          <w:trHeight w:val="313"/>
        </w:trPr>
        <w:tc>
          <w:tcPr>
            <w:tcW w:w="1685" w:type="dxa"/>
          </w:tcPr>
          <w:p w14:paraId="4E527BA8" w14:textId="77777777" w:rsidR="00726A67" w:rsidRPr="003043AD" w:rsidRDefault="00726A67" w:rsidP="00726A67">
            <w:pPr>
              <w:jc w:val="center"/>
              <w:rPr>
                <w:rFonts w:eastAsiaTheme="minorHAnsi"/>
                <w:color w:val="000000" w:themeColor="text1"/>
                <w:sz w:val="18"/>
                <w:szCs w:val="18"/>
              </w:rPr>
            </w:pPr>
            <w:r w:rsidRPr="003043AD">
              <w:rPr>
                <w:rFonts w:eastAsiaTheme="minorHAnsi" w:hint="eastAsia"/>
                <w:b/>
                <w:bCs/>
                <w:color w:val="000000" w:themeColor="text1"/>
                <w:sz w:val="18"/>
                <w:szCs w:val="18"/>
              </w:rPr>
              <w:t>policy</w:t>
            </w:r>
          </w:p>
        </w:tc>
        <w:tc>
          <w:tcPr>
            <w:tcW w:w="5951" w:type="dxa"/>
          </w:tcPr>
          <w:p w14:paraId="4D5EB6EB"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エコカー減税優遇政策ダミー</w:t>
            </w:r>
            <w:r w:rsidRPr="003043AD">
              <w:rPr>
                <w:rFonts w:eastAsiaTheme="minorHAnsi"/>
                <w:color w:val="000000" w:themeColor="text1"/>
                <w:sz w:val="18"/>
                <w:szCs w:val="18"/>
                <w:shd w:val="clear" w:color="auto" w:fill="FFFFFF"/>
              </w:rPr>
              <w:t xml:space="preserve"> </w:t>
            </w:r>
            <w:r w:rsidRPr="003043AD">
              <w:rPr>
                <w:rFonts w:eastAsiaTheme="minorHAnsi" w:hint="eastAsia"/>
                <w:color w:val="000000" w:themeColor="text1"/>
                <w:sz w:val="18"/>
                <w:szCs w:val="18"/>
                <w:shd w:val="clear" w:color="auto" w:fill="FFFFFF"/>
              </w:rPr>
              <w:t>（</w:t>
            </w:r>
            <w:r w:rsidRPr="003043AD">
              <w:rPr>
                <w:rFonts w:eastAsiaTheme="minorHAnsi"/>
                <w:color w:val="000000" w:themeColor="text1"/>
                <w:sz w:val="18"/>
                <w:szCs w:val="18"/>
                <w:shd w:val="clear" w:color="auto" w:fill="FFFFFF"/>
              </w:rPr>
              <w:t>2009</w:t>
            </w:r>
            <w:r w:rsidRPr="003043AD">
              <w:rPr>
                <w:rFonts w:eastAsiaTheme="minorHAnsi" w:hint="eastAsia"/>
                <w:color w:val="000000" w:themeColor="text1"/>
                <w:sz w:val="18"/>
                <w:szCs w:val="18"/>
                <w:shd w:val="clear" w:color="auto" w:fill="FFFFFF"/>
              </w:rPr>
              <w:t>年から）</w:t>
            </w:r>
          </w:p>
        </w:tc>
      </w:tr>
      <w:tr w:rsidR="00726A67" w:rsidRPr="003043AD" w14:paraId="55FF49EC" w14:textId="77777777" w:rsidTr="00726A67">
        <w:trPr>
          <w:trHeight w:val="301"/>
        </w:trPr>
        <w:tc>
          <w:tcPr>
            <w:tcW w:w="1685" w:type="dxa"/>
          </w:tcPr>
          <w:p w14:paraId="15B1C670"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sidRPr="003043AD">
              <w:rPr>
                <w:rFonts w:eastAsiaTheme="minorHAnsi" w:hint="eastAsia"/>
                <w:b/>
                <w:bCs/>
                <w:color w:val="000000" w:themeColor="text1"/>
                <w:sz w:val="18"/>
                <w:szCs w:val="18"/>
                <w:shd w:val="clear" w:color="auto" w:fill="FFFFFF"/>
              </w:rPr>
              <w:t>eq</w:t>
            </w:r>
            <w:proofErr w:type="spellEnd"/>
          </w:p>
        </w:tc>
        <w:tc>
          <w:tcPr>
            <w:tcW w:w="5951" w:type="dxa"/>
          </w:tcPr>
          <w:p w14:paraId="601663CB"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東日本大震災によるガソリンの需給ショックダミー（</w:t>
            </w:r>
            <w:r w:rsidRPr="003043AD">
              <w:rPr>
                <w:rFonts w:eastAsiaTheme="minorHAnsi"/>
                <w:color w:val="000000" w:themeColor="text1"/>
                <w:sz w:val="18"/>
                <w:szCs w:val="18"/>
                <w:shd w:val="clear" w:color="auto" w:fill="FFFFFF"/>
              </w:rPr>
              <w:t>2011</w:t>
            </w:r>
            <w:r w:rsidRPr="003043AD">
              <w:rPr>
                <w:rFonts w:eastAsiaTheme="minorHAnsi" w:hint="eastAsia"/>
                <w:color w:val="000000" w:themeColor="text1"/>
                <w:sz w:val="18"/>
                <w:szCs w:val="18"/>
                <w:shd w:val="clear" w:color="auto" w:fill="FFFFFF"/>
              </w:rPr>
              <w:t>年から）</w:t>
            </w:r>
          </w:p>
        </w:tc>
      </w:tr>
      <w:tr w:rsidR="00726A67" w:rsidRPr="003043AD" w14:paraId="2E305EA0" w14:textId="77777777" w:rsidTr="00726A67">
        <w:trPr>
          <w:trHeight w:val="186"/>
        </w:trPr>
        <w:tc>
          <w:tcPr>
            <w:tcW w:w="1685" w:type="dxa"/>
          </w:tcPr>
          <w:p w14:paraId="3DC3C125" w14:textId="77777777" w:rsidR="00726A67" w:rsidRPr="003043AD" w:rsidRDefault="00726A67" w:rsidP="00726A67">
            <w:pPr>
              <w:jc w:val="center"/>
              <w:rPr>
                <w:rFonts w:eastAsiaTheme="minorHAnsi"/>
                <w:color w:val="000000" w:themeColor="text1"/>
                <w:sz w:val="18"/>
                <w:szCs w:val="18"/>
                <w:shd w:val="clear" w:color="auto" w:fill="FFFFFF"/>
              </w:rPr>
            </w:pPr>
            <w:r w:rsidRPr="003043AD">
              <w:rPr>
                <w:rFonts w:eastAsiaTheme="minorHAnsi"/>
                <w:color w:val="000000" w:themeColor="text1"/>
                <w:sz w:val="18"/>
                <w:szCs w:val="18"/>
                <w:shd w:val="clear" w:color="auto" w:fill="FFFFFF"/>
              </w:rPr>
              <w:t>e</w:t>
            </w:r>
          </w:p>
        </w:tc>
        <w:tc>
          <w:tcPr>
            <w:tcW w:w="5951" w:type="dxa"/>
          </w:tcPr>
          <w:p w14:paraId="19D57D30"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二村</w:t>
            </w:r>
            <w:r w:rsidRPr="003043AD">
              <w:rPr>
                <w:rFonts w:eastAsiaTheme="minorHAnsi"/>
                <w:color w:val="000000" w:themeColor="text1"/>
                <w:sz w:val="18"/>
                <w:szCs w:val="18"/>
                <w:shd w:val="clear" w:color="auto" w:fill="FFFFFF"/>
              </w:rPr>
              <w:t>(2000)</w:t>
            </w:r>
            <w:r w:rsidRPr="003043AD">
              <w:rPr>
                <w:rFonts w:eastAsiaTheme="minorHAnsi" w:hint="eastAsia"/>
                <w:color w:val="000000" w:themeColor="text1"/>
                <w:sz w:val="18"/>
                <w:szCs w:val="18"/>
                <w:shd w:val="clear" w:color="auto" w:fill="FFFFFF"/>
              </w:rPr>
              <w:t>による急激な円高の影響ダミー（</w:t>
            </w:r>
            <w:r w:rsidRPr="003043AD">
              <w:rPr>
                <w:rFonts w:eastAsiaTheme="minorHAnsi"/>
                <w:color w:val="000000" w:themeColor="text1"/>
                <w:sz w:val="18"/>
                <w:szCs w:val="18"/>
                <w:shd w:val="clear" w:color="auto" w:fill="FFFFFF"/>
              </w:rPr>
              <w:t>1985-1988</w:t>
            </w:r>
            <w:r w:rsidRPr="003043AD">
              <w:rPr>
                <w:rFonts w:eastAsiaTheme="minorHAnsi" w:hint="eastAsia"/>
                <w:color w:val="000000" w:themeColor="text1"/>
                <w:sz w:val="18"/>
                <w:szCs w:val="18"/>
                <w:shd w:val="clear" w:color="auto" w:fill="FFFFFF"/>
              </w:rPr>
              <w:t>年）</w:t>
            </w:r>
          </w:p>
        </w:tc>
      </w:tr>
      <w:tr w:rsidR="00726A67" w:rsidRPr="003043AD" w14:paraId="09556E64" w14:textId="77777777" w:rsidTr="00726A67">
        <w:trPr>
          <w:trHeight w:val="409"/>
        </w:trPr>
        <w:tc>
          <w:tcPr>
            <w:tcW w:w="1685" w:type="dxa"/>
          </w:tcPr>
          <w:p w14:paraId="10AADED8" w14:textId="77777777" w:rsidR="00726A67" w:rsidRPr="003043AD" w:rsidRDefault="00726A67" w:rsidP="00726A67">
            <w:pPr>
              <w:jc w:val="center"/>
              <w:rPr>
                <w:rFonts w:eastAsiaTheme="minorHAnsi"/>
                <w:color w:val="000000" w:themeColor="text1"/>
                <w:sz w:val="18"/>
                <w:szCs w:val="18"/>
                <w:shd w:val="clear" w:color="auto" w:fill="FFFFFF"/>
              </w:rPr>
            </w:pPr>
            <w:r w:rsidRPr="003043AD">
              <w:rPr>
                <w:rFonts w:eastAsiaTheme="minorHAnsi"/>
                <w:color w:val="000000" w:themeColor="text1"/>
                <w:sz w:val="18"/>
                <w:szCs w:val="18"/>
                <w:shd w:val="clear" w:color="auto" w:fill="FFFFFF"/>
              </w:rPr>
              <w:t>d</w:t>
            </w:r>
          </w:p>
        </w:tc>
        <w:tc>
          <w:tcPr>
            <w:tcW w:w="5951" w:type="dxa"/>
          </w:tcPr>
          <w:p w14:paraId="0633B939"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二村</w:t>
            </w:r>
            <w:r w:rsidRPr="003043AD">
              <w:rPr>
                <w:rFonts w:eastAsiaTheme="minorHAnsi"/>
                <w:color w:val="000000" w:themeColor="text1"/>
                <w:sz w:val="18"/>
                <w:szCs w:val="18"/>
                <w:shd w:val="clear" w:color="auto" w:fill="FFFFFF"/>
              </w:rPr>
              <w:t>(2000)</w:t>
            </w:r>
            <w:r w:rsidRPr="003043AD">
              <w:rPr>
                <w:rFonts w:eastAsiaTheme="minorHAnsi" w:hint="eastAsia"/>
                <w:color w:val="000000" w:themeColor="text1"/>
                <w:sz w:val="18"/>
                <w:szCs w:val="18"/>
                <w:shd w:val="clear" w:color="auto" w:fill="FFFFFF"/>
              </w:rPr>
              <w:t>によるバブル前後の需要構造変化ダミー（</w:t>
            </w:r>
            <w:r w:rsidRPr="003043AD">
              <w:rPr>
                <w:rFonts w:eastAsiaTheme="minorHAnsi"/>
                <w:color w:val="000000" w:themeColor="text1"/>
                <w:sz w:val="18"/>
                <w:szCs w:val="18"/>
                <w:shd w:val="clear" w:color="auto" w:fill="FFFFFF"/>
              </w:rPr>
              <w:t>1988-1997</w:t>
            </w:r>
            <w:r w:rsidRPr="003043AD">
              <w:rPr>
                <w:rFonts w:eastAsiaTheme="minorHAnsi" w:hint="eastAsia"/>
                <w:color w:val="000000" w:themeColor="text1"/>
                <w:sz w:val="18"/>
                <w:szCs w:val="18"/>
                <w:shd w:val="clear" w:color="auto" w:fill="FFFFFF"/>
              </w:rPr>
              <w:t>年）</w:t>
            </w:r>
          </w:p>
        </w:tc>
      </w:tr>
      <w:tr w:rsidR="00726A67" w:rsidRPr="003043AD" w14:paraId="177E268B" w14:textId="77777777" w:rsidTr="00726A67">
        <w:trPr>
          <w:trHeight w:val="409"/>
        </w:trPr>
        <w:tc>
          <w:tcPr>
            <w:tcW w:w="1685" w:type="dxa"/>
          </w:tcPr>
          <w:p w14:paraId="2D78AC06"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sidRPr="003043AD">
              <w:rPr>
                <w:rFonts w:eastAsiaTheme="minorHAnsi"/>
                <w:color w:val="000000" w:themeColor="text1"/>
                <w:sz w:val="18"/>
                <w:szCs w:val="18"/>
                <w:shd w:val="clear" w:color="auto" w:fill="FFFFFF"/>
              </w:rPr>
              <w:t>oilshock</w:t>
            </w:r>
            <w:proofErr w:type="spellEnd"/>
          </w:p>
        </w:tc>
        <w:tc>
          <w:tcPr>
            <w:tcW w:w="5951" w:type="dxa"/>
          </w:tcPr>
          <w:p w14:paraId="096C36C7" w14:textId="77777777" w:rsidR="00726A67" w:rsidRPr="003043AD" w:rsidRDefault="00726A67" w:rsidP="00726A67">
            <w:pPr>
              <w:rPr>
                <w:rFonts w:eastAsiaTheme="minorHAnsi"/>
                <w:color w:val="000000" w:themeColor="text1"/>
                <w:sz w:val="18"/>
                <w:szCs w:val="18"/>
                <w:shd w:val="clear" w:color="auto" w:fill="FFFFFF"/>
              </w:rPr>
            </w:pPr>
            <w:r w:rsidRPr="003043AD">
              <w:rPr>
                <w:rFonts w:eastAsiaTheme="minorHAnsi" w:hint="eastAsia"/>
                <w:color w:val="000000" w:themeColor="text1"/>
                <w:sz w:val="18"/>
                <w:szCs w:val="18"/>
                <w:shd w:val="clear" w:color="auto" w:fill="FFFFFF"/>
              </w:rPr>
              <w:t>1973年と1979年に始まった原油の供給逼迫および原油価格高騰ダミー</w:t>
            </w:r>
          </w:p>
        </w:tc>
      </w:tr>
      <w:tr w:rsidR="00726A67" w:rsidRPr="003043AD" w14:paraId="08FC6DF4" w14:textId="77777777" w:rsidTr="00726A67">
        <w:trPr>
          <w:trHeight w:val="301"/>
        </w:trPr>
        <w:tc>
          <w:tcPr>
            <w:tcW w:w="1685" w:type="dxa"/>
          </w:tcPr>
          <w:p w14:paraId="5D996974" w14:textId="77777777" w:rsidR="00726A67" w:rsidRPr="003043AD" w:rsidRDefault="00726A67" w:rsidP="00726A67">
            <w:pPr>
              <w:jc w:val="center"/>
              <w:rPr>
                <w:rFonts w:eastAsiaTheme="minorHAnsi"/>
                <w:color w:val="000000" w:themeColor="text1"/>
                <w:sz w:val="18"/>
                <w:szCs w:val="18"/>
                <w:shd w:val="clear" w:color="auto" w:fill="FFFFFF"/>
              </w:rPr>
            </w:pPr>
            <w:proofErr w:type="spellStart"/>
            <w:r w:rsidRPr="003043AD">
              <w:rPr>
                <w:rFonts w:eastAsiaTheme="minorHAnsi"/>
                <w:color w:val="000000" w:themeColor="text1"/>
                <w:sz w:val="18"/>
                <w:szCs w:val="18"/>
                <w:shd w:val="clear" w:color="auto" w:fill="FFFFFF"/>
              </w:rPr>
              <w:t>iraqwar</w:t>
            </w:r>
            <w:proofErr w:type="spellEnd"/>
          </w:p>
        </w:tc>
        <w:tc>
          <w:tcPr>
            <w:tcW w:w="5951" w:type="dxa"/>
          </w:tcPr>
          <w:p w14:paraId="616F6181" w14:textId="77777777" w:rsidR="00726A67" w:rsidRPr="003043AD" w:rsidRDefault="00726A67" w:rsidP="00726A67">
            <w:pPr>
              <w:keepNext/>
              <w:rPr>
                <w:rFonts w:eastAsiaTheme="minorHAnsi"/>
                <w:color w:val="000000" w:themeColor="text1"/>
              </w:rPr>
            </w:pPr>
            <w:r w:rsidRPr="003043AD">
              <w:rPr>
                <w:rFonts w:eastAsiaTheme="minorHAnsi" w:hint="eastAsia"/>
                <w:color w:val="000000" w:themeColor="text1"/>
                <w:sz w:val="18"/>
                <w:szCs w:val="18"/>
                <w:shd w:val="clear" w:color="auto" w:fill="FFFFFF"/>
              </w:rPr>
              <w:t>イラク戦争による</w:t>
            </w:r>
            <w:r w:rsidRPr="003043AD">
              <w:rPr>
                <w:rFonts w:eastAsiaTheme="minorHAnsi"/>
                <w:color w:val="000000" w:themeColor="text1"/>
                <w:sz w:val="18"/>
                <w:szCs w:val="18"/>
                <w:shd w:val="clear" w:color="auto" w:fill="FFFFFF"/>
              </w:rPr>
              <w:t>長期化</w:t>
            </w:r>
            <w:r w:rsidRPr="003043AD">
              <w:rPr>
                <w:rFonts w:eastAsiaTheme="minorHAnsi" w:hint="eastAsia"/>
                <w:color w:val="000000" w:themeColor="text1"/>
                <w:sz w:val="18"/>
                <w:szCs w:val="18"/>
                <w:shd w:val="clear" w:color="auto" w:fill="FFFFFF"/>
              </w:rPr>
              <w:t>した</w:t>
            </w:r>
            <w:r w:rsidRPr="003043AD">
              <w:rPr>
                <w:rFonts w:eastAsiaTheme="minorHAnsi"/>
                <w:color w:val="000000" w:themeColor="text1"/>
                <w:sz w:val="18"/>
                <w:szCs w:val="18"/>
                <w:shd w:val="clear" w:color="auto" w:fill="FFFFFF"/>
              </w:rPr>
              <w:t>原油高</w:t>
            </w:r>
            <w:r w:rsidRPr="003043AD">
              <w:rPr>
                <w:rFonts w:eastAsiaTheme="minorHAnsi" w:hint="eastAsia"/>
                <w:color w:val="000000" w:themeColor="text1"/>
                <w:sz w:val="18"/>
                <w:szCs w:val="18"/>
                <w:shd w:val="clear" w:color="auto" w:fill="FFFFFF"/>
              </w:rPr>
              <w:t>ダミー（</w:t>
            </w:r>
            <w:r w:rsidRPr="003043AD">
              <w:rPr>
                <w:rFonts w:eastAsiaTheme="minorHAnsi"/>
                <w:color w:val="000000" w:themeColor="text1"/>
                <w:sz w:val="18"/>
                <w:szCs w:val="18"/>
                <w:shd w:val="clear" w:color="auto" w:fill="FFFFFF"/>
              </w:rPr>
              <w:t>2003</w:t>
            </w:r>
            <w:r w:rsidRPr="003043AD">
              <w:rPr>
                <w:rFonts w:eastAsiaTheme="minorHAnsi" w:hint="eastAsia"/>
                <w:color w:val="000000" w:themeColor="text1"/>
                <w:sz w:val="18"/>
                <w:szCs w:val="18"/>
                <w:shd w:val="clear" w:color="auto" w:fill="FFFFFF"/>
              </w:rPr>
              <w:t>年から）</w:t>
            </w:r>
          </w:p>
        </w:tc>
      </w:tr>
    </w:tbl>
    <w:p w14:paraId="5712E62E" w14:textId="77777777" w:rsidR="00726A67" w:rsidRPr="003043AD" w:rsidRDefault="00726A67" w:rsidP="00726A67">
      <w:pPr>
        <w:pStyle w:val="af3"/>
        <w:jc w:val="center"/>
        <w:rPr>
          <w:rFonts w:eastAsiaTheme="minorHAnsi"/>
          <w:b w:val="0"/>
          <w:color w:val="FF0000"/>
        </w:rPr>
      </w:pPr>
      <w:r>
        <w:t xml:space="preserve">Table </w:t>
      </w:r>
      <w:fldSimple w:instr=" SEQ Table \* ARABIC ">
        <w:r>
          <w:rPr>
            <w:noProof/>
          </w:rPr>
          <w:t>2</w:t>
        </w:r>
      </w:fldSimple>
      <w:r>
        <w:rPr>
          <w:rFonts w:hint="eastAsia"/>
        </w:rPr>
        <w:t xml:space="preserve">　利用した統計データおよび出所</w:t>
      </w:r>
    </w:p>
    <w:p w14:paraId="0B1569ED" w14:textId="77777777" w:rsidR="00726A67" w:rsidRDefault="00726A67" w:rsidP="00726A67">
      <w:pPr>
        <w:rPr>
          <w:rFonts w:eastAsiaTheme="minorHAnsi"/>
          <w:b/>
          <w:color w:val="000000" w:themeColor="text1"/>
          <w:szCs w:val="21"/>
        </w:rPr>
      </w:pPr>
      <w:bookmarkStart w:id="2" w:name="OLE_LINK260"/>
      <w:bookmarkStart w:id="3" w:name="OLE_LINK261"/>
      <w:r w:rsidRPr="007275E3">
        <w:rPr>
          <w:rFonts w:eastAsiaTheme="minorHAnsi" w:hint="eastAsia"/>
          <w:b/>
          <w:color w:val="000000" w:themeColor="text1"/>
          <w:szCs w:val="21"/>
        </w:rPr>
        <w:t>最適ラグ判定、</w:t>
      </w:r>
      <w:r w:rsidRPr="003043AD">
        <w:rPr>
          <w:rFonts w:eastAsiaTheme="minorHAnsi"/>
          <w:b/>
          <w:color w:val="000000" w:themeColor="text1"/>
          <w:szCs w:val="21"/>
        </w:rPr>
        <w:t>Granger因果性検定</w:t>
      </w:r>
      <w:r>
        <w:rPr>
          <w:rFonts w:eastAsiaTheme="minorHAnsi" w:hint="eastAsia"/>
          <w:b/>
          <w:color w:val="000000" w:themeColor="text1"/>
          <w:szCs w:val="21"/>
        </w:rPr>
        <w:t>、</w:t>
      </w:r>
      <w:r w:rsidRPr="007275E3">
        <w:rPr>
          <w:rFonts w:eastAsiaTheme="minorHAnsi" w:hint="eastAsia"/>
          <w:b/>
          <w:color w:val="000000" w:themeColor="text1"/>
          <w:szCs w:val="21"/>
        </w:rPr>
        <w:t>定常性検定</w:t>
      </w:r>
    </w:p>
    <w:bookmarkEnd w:id="2"/>
    <w:bookmarkEnd w:id="3"/>
    <w:p w14:paraId="4F8D5C33" w14:textId="77777777" w:rsidR="00726A67" w:rsidRPr="00B7400C" w:rsidRDefault="00726A67" w:rsidP="00726A67">
      <w:pPr>
        <w:rPr>
          <w:rFonts w:eastAsiaTheme="minorHAnsi"/>
          <w:color w:val="000000" w:themeColor="text1"/>
          <w:szCs w:val="21"/>
        </w:rPr>
      </w:pPr>
      <w:r w:rsidRPr="00B7400C">
        <w:rPr>
          <w:rFonts w:eastAsiaTheme="minorHAnsi" w:hint="eastAsia"/>
          <w:color w:val="000000" w:themeColor="text1"/>
          <w:szCs w:val="21"/>
        </w:rPr>
        <w:t>１）</w:t>
      </w:r>
    </w:p>
    <w:p w14:paraId="7D16E5B8" w14:textId="77777777" w:rsidR="00726A67" w:rsidRPr="00B7400C" w:rsidRDefault="00726A67" w:rsidP="00726A67">
      <w:pPr>
        <w:rPr>
          <w:rFonts w:eastAsiaTheme="minorHAnsi"/>
          <w:color w:val="000000" w:themeColor="text1"/>
          <w:szCs w:val="21"/>
        </w:rPr>
      </w:pPr>
      <w:proofErr w:type="spellStart"/>
      <w:r w:rsidRPr="00B7400C">
        <w:rPr>
          <w:rFonts w:eastAsiaTheme="minorHAnsi"/>
          <w:color w:val="000000" w:themeColor="text1"/>
          <w:szCs w:val="21"/>
        </w:rPr>
        <w:t>varsoc</w:t>
      </w:r>
      <w:proofErr w:type="spellEnd"/>
      <w:r w:rsidRPr="00B7400C">
        <w:rPr>
          <w:rFonts w:eastAsiaTheme="minorHAnsi" w:hint="eastAsia"/>
          <w:color w:val="000000" w:themeColor="text1"/>
          <w:szCs w:val="21"/>
        </w:rPr>
        <w:t>命令を使い、情報量基準で最適ラッグを計算した結果、</w:t>
      </w:r>
      <w:bookmarkStart w:id="4" w:name="OLE_LINK203"/>
      <w:bookmarkStart w:id="5" w:name="OLE_LINK204"/>
      <w:bookmarkStart w:id="6" w:name="OLE_LINK199"/>
      <w:bookmarkStart w:id="7" w:name="OLE_LINK200"/>
      <w:r w:rsidRPr="00B7400C">
        <w:rPr>
          <w:rFonts w:eastAsiaTheme="minorHAnsi" w:hint="eastAsia"/>
          <w:color w:val="000000" w:themeColor="text1"/>
          <w:szCs w:val="21"/>
        </w:rPr>
        <w:t>VAR１</w:t>
      </w:r>
      <w:r w:rsidRPr="00B7400C">
        <w:rPr>
          <w:rFonts w:eastAsiaTheme="minorHAnsi"/>
          <w:color w:val="000000" w:themeColor="text1"/>
          <w:szCs w:val="21"/>
        </w:rPr>
        <w:t>（</w:t>
      </w:r>
      <w:r w:rsidRPr="00B7400C">
        <w:rPr>
          <w:rFonts w:eastAsiaTheme="minorHAnsi" w:hint="eastAsia"/>
          <w:color w:val="000000" w:themeColor="text1"/>
          <w:szCs w:val="21"/>
        </w:rPr>
        <w:t>1974-2016</w:t>
      </w:r>
      <w:r w:rsidRPr="00B7400C">
        <w:rPr>
          <w:rFonts w:eastAsiaTheme="minorHAnsi"/>
          <w:color w:val="000000" w:themeColor="text1"/>
          <w:szCs w:val="21"/>
        </w:rPr>
        <w:t>）</w:t>
      </w:r>
      <w:r w:rsidRPr="00B7400C">
        <w:rPr>
          <w:rFonts w:eastAsiaTheme="minorHAnsi" w:hint="eastAsia"/>
          <w:color w:val="000000" w:themeColor="text1"/>
          <w:szCs w:val="21"/>
        </w:rPr>
        <w:t>では</w:t>
      </w:r>
      <w:bookmarkEnd w:id="4"/>
      <w:bookmarkEnd w:id="5"/>
      <w:r w:rsidRPr="00B7400C">
        <w:rPr>
          <w:rFonts w:eastAsiaTheme="minorHAnsi"/>
          <w:color w:val="000000" w:themeColor="text1"/>
          <w:szCs w:val="21"/>
        </w:rPr>
        <w:t>lag2</w:t>
      </w:r>
      <w:r w:rsidRPr="00B7400C">
        <w:rPr>
          <w:rFonts w:eastAsiaTheme="minorHAnsi" w:hint="eastAsia"/>
          <w:color w:val="000000" w:themeColor="text1"/>
          <w:szCs w:val="21"/>
        </w:rPr>
        <w:t>のところでFPEが最も小さく、VAR２</w:t>
      </w:r>
      <w:r w:rsidRPr="00B7400C">
        <w:rPr>
          <w:rFonts w:eastAsiaTheme="minorHAnsi"/>
          <w:color w:val="000000" w:themeColor="text1"/>
          <w:szCs w:val="21"/>
        </w:rPr>
        <w:t>（</w:t>
      </w:r>
      <w:r>
        <w:rPr>
          <w:rFonts w:eastAsiaTheme="minorHAnsi" w:hint="eastAsia"/>
          <w:color w:val="000000" w:themeColor="text1"/>
          <w:szCs w:val="21"/>
        </w:rPr>
        <w:t>1974-1997</w:t>
      </w:r>
      <w:r w:rsidRPr="00B7400C">
        <w:rPr>
          <w:rFonts w:eastAsiaTheme="minorHAnsi"/>
          <w:color w:val="000000" w:themeColor="text1"/>
          <w:szCs w:val="21"/>
        </w:rPr>
        <w:t>）</w:t>
      </w:r>
      <w:r>
        <w:rPr>
          <w:rFonts w:eastAsiaTheme="minorHAnsi" w:hint="eastAsia"/>
          <w:color w:val="000000" w:themeColor="text1"/>
          <w:szCs w:val="21"/>
        </w:rPr>
        <w:t>も</w:t>
      </w:r>
      <w:r w:rsidRPr="00B7400C">
        <w:rPr>
          <w:rFonts w:eastAsiaTheme="minorHAnsi"/>
          <w:color w:val="000000" w:themeColor="text1"/>
          <w:szCs w:val="21"/>
        </w:rPr>
        <w:t>lag</w:t>
      </w:r>
      <w:r>
        <w:rPr>
          <w:rFonts w:eastAsiaTheme="minorHAnsi"/>
          <w:color w:val="000000" w:themeColor="text1"/>
          <w:szCs w:val="21"/>
        </w:rPr>
        <w:t>2</w:t>
      </w:r>
      <w:r w:rsidRPr="00B7400C">
        <w:rPr>
          <w:rFonts w:eastAsiaTheme="minorHAnsi" w:hint="eastAsia"/>
          <w:color w:val="000000" w:themeColor="text1"/>
          <w:szCs w:val="21"/>
        </w:rPr>
        <w:t>のところでFPEが最も小さいことがわかった。</w:t>
      </w:r>
    </w:p>
    <w:bookmarkEnd w:id="6"/>
    <w:bookmarkEnd w:id="7"/>
    <w:p w14:paraId="7277B1D6" w14:textId="77777777" w:rsidR="00726A67" w:rsidRPr="00B7400C" w:rsidRDefault="00726A67" w:rsidP="00726A67">
      <w:pPr>
        <w:rPr>
          <w:rFonts w:eastAsiaTheme="minorHAnsi"/>
          <w:color w:val="000000" w:themeColor="text1"/>
          <w:szCs w:val="21"/>
        </w:rPr>
      </w:pPr>
    </w:p>
    <w:p w14:paraId="74EE5174" w14:textId="77777777" w:rsidR="00726A67" w:rsidRPr="00B7400C" w:rsidRDefault="00726A67" w:rsidP="00726A67">
      <w:pPr>
        <w:rPr>
          <w:rFonts w:eastAsiaTheme="minorHAnsi"/>
          <w:color w:val="000000" w:themeColor="text1"/>
          <w:szCs w:val="21"/>
        </w:rPr>
      </w:pPr>
      <w:r w:rsidRPr="00B7400C">
        <w:rPr>
          <w:rFonts w:eastAsiaTheme="minorHAnsi" w:hint="eastAsia"/>
          <w:color w:val="000000" w:themeColor="text1"/>
          <w:szCs w:val="21"/>
        </w:rPr>
        <w:t>２）</w:t>
      </w:r>
    </w:p>
    <w:p w14:paraId="75B7D2F0" w14:textId="77777777" w:rsidR="00726A67" w:rsidRPr="003043AD" w:rsidRDefault="00726A67" w:rsidP="00726A67">
      <w:pPr>
        <w:rPr>
          <w:rFonts w:eastAsiaTheme="minorHAnsi"/>
          <w:color w:val="000000" w:themeColor="text1"/>
          <w:szCs w:val="21"/>
        </w:rPr>
      </w:pPr>
      <w:r>
        <w:rPr>
          <w:rFonts w:eastAsiaTheme="minorHAnsi" w:hint="eastAsia"/>
          <w:color w:val="000000" w:themeColor="text1"/>
          <w:szCs w:val="21"/>
        </w:rPr>
        <w:t>Table</w:t>
      </w:r>
      <w:r>
        <w:rPr>
          <w:rFonts w:eastAsiaTheme="minorHAnsi"/>
          <w:color w:val="000000" w:themeColor="text1"/>
          <w:szCs w:val="21"/>
        </w:rPr>
        <w:t>3</w:t>
      </w:r>
      <w:r>
        <w:rPr>
          <w:rFonts w:eastAsiaTheme="minorHAnsi" w:hint="eastAsia"/>
          <w:color w:val="000000" w:themeColor="text1"/>
          <w:szCs w:val="21"/>
        </w:rPr>
        <w:t>で</w:t>
      </w:r>
      <w:r w:rsidRPr="003043AD">
        <w:rPr>
          <w:rFonts w:eastAsiaTheme="minorHAnsi"/>
          <w:color w:val="000000" w:themeColor="text1"/>
          <w:szCs w:val="21"/>
        </w:rPr>
        <w:t>、</w:t>
      </w:r>
      <w:r>
        <w:rPr>
          <w:rFonts w:eastAsiaTheme="minorHAnsi"/>
          <w:color w:val="000000" w:themeColor="text1"/>
          <w:szCs w:val="21"/>
        </w:rPr>
        <w:t>VAR1</w:t>
      </w:r>
      <w:r>
        <w:rPr>
          <w:rFonts w:eastAsiaTheme="minorHAnsi" w:hint="eastAsia"/>
          <w:color w:val="000000" w:themeColor="text1"/>
          <w:szCs w:val="21"/>
        </w:rPr>
        <w:t>には</w:t>
      </w:r>
      <w:bookmarkStart w:id="8" w:name="OLE_LINK206"/>
      <w:bookmarkStart w:id="9" w:name="OLE_LINK207"/>
      <w:r w:rsidRPr="00B7400C">
        <w:rPr>
          <w:rFonts w:eastAsiaTheme="minorHAnsi" w:hint="eastAsia"/>
          <w:color w:val="000000" w:themeColor="text1"/>
          <w:szCs w:val="21"/>
        </w:rPr>
        <w:t>双方向の因果性</w:t>
      </w:r>
      <w:bookmarkEnd w:id="8"/>
      <w:bookmarkEnd w:id="9"/>
      <w:r w:rsidRPr="00B7400C">
        <w:rPr>
          <w:rFonts w:eastAsiaTheme="minorHAnsi" w:hint="eastAsia"/>
          <w:color w:val="000000" w:themeColor="text1"/>
          <w:szCs w:val="21"/>
        </w:rPr>
        <w:t>は認められず片方向にしか因果性がな</w:t>
      </w:r>
      <w:r>
        <w:rPr>
          <w:rFonts w:eastAsiaTheme="minorHAnsi" w:hint="eastAsia"/>
          <w:color w:val="000000" w:themeColor="text1"/>
          <w:szCs w:val="21"/>
        </w:rPr>
        <w:t>いことがわかった</w:t>
      </w:r>
      <w:r w:rsidRPr="003043AD">
        <w:rPr>
          <w:rFonts w:eastAsiaTheme="minorHAnsi"/>
          <w:color w:val="000000" w:themeColor="text1"/>
          <w:szCs w:val="21"/>
        </w:rPr>
        <w:t>。</w:t>
      </w:r>
    </w:p>
    <w:tbl>
      <w:tblPr>
        <w:tblStyle w:val="a6"/>
        <w:tblpPr w:leftFromText="142" w:rightFromText="142" w:vertAnchor="text" w:horzAnchor="margin" w:tblpXSpec="center" w:tblpY="12"/>
        <w:tblW w:w="7932" w:type="dxa"/>
        <w:tblLook w:val="04A0" w:firstRow="1" w:lastRow="0" w:firstColumn="1" w:lastColumn="0" w:noHBand="0" w:noVBand="1"/>
      </w:tblPr>
      <w:tblGrid>
        <w:gridCol w:w="1838"/>
        <w:gridCol w:w="1418"/>
        <w:gridCol w:w="1143"/>
        <w:gridCol w:w="1576"/>
        <w:gridCol w:w="540"/>
        <w:gridCol w:w="1417"/>
      </w:tblGrid>
      <w:tr w:rsidR="00726A67" w:rsidRPr="003043AD" w14:paraId="556BC6FE" w14:textId="77777777" w:rsidTr="00726A67">
        <w:tc>
          <w:tcPr>
            <w:tcW w:w="1838" w:type="dxa"/>
            <w:tcBorders>
              <w:top w:val="single" w:sz="4" w:space="0" w:color="auto"/>
              <w:left w:val="nil"/>
              <w:bottom w:val="single" w:sz="12" w:space="0" w:color="A5A5A5" w:themeColor="accent3"/>
              <w:right w:val="single" w:sz="4" w:space="0" w:color="auto"/>
            </w:tcBorders>
          </w:tcPr>
          <w:p w14:paraId="28242E82" w14:textId="77777777" w:rsidR="00726A67" w:rsidRPr="003043AD" w:rsidRDefault="00726A67" w:rsidP="00726A67">
            <w:pPr>
              <w:jc w:val="center"/>
              <w:rPr>
                <w:rFonts w:eastAsiaTheme="minorHAnsi"/>
                <w:color w:val="000000" w:themeColor="text1"/>
              </w:rPr>
            </w:pPr>
          </w:p>
        </w:tc>
        <w:tc>
          <w:tcPr>
            <w:tcW w:w="1418" w:type="dxa"/>
            <w:tcBorders>
              <w:top w:val="single" w:sz="4" w:space="0" w:color="auto"/>
              <w:left w:val="single" w:sz="4" w:space="0" w:color="auto"/>
              <w:bottom w:val="single" w:sz="12" w:space="0" w:color="A5A5A5" w:themeColor="accent3"/>
              <w:right w:val="nil"/>
            </w:tcBorders>
            <w:hideMark/>
          </w:tcPr>
          <w:p w14:paraId="0F190BAB" w14:textId="77777777" w:rsidR="00726A67" w:rsidRPr="003043AD" w:rsidRDefault="00726A67" w:rsidP="00726A67">
            <w:pPr>
              <w:jc w:val="center"/>
              <w:rPr>
                <w:rFonts w:eastAsiaTheme="minorHAnsi"/>
                <w:color w:val="000000" w:themeColor="text1"/>
              </w:rPr>
            </w:pPr>
            <w:r w:rsidRPr="003043AD">
              <w:rPr>
                <w:rFonts w:eastAsiaTheme="minorHAnsi"/>
                <w:color w:val="000000" w:themeColor="text1"/>
              </w:rPr>
              <w:t>equation</w:t>
            </w:r>
          </w:p>
        </w:tc>
        <w:tc>
          <w:tcPr>
            <w:tcW w:w="1143" w:type="dxa"/>
            <w:tcBorders>
              <w:top w:val="single" w:sz="4" w:space="0" w:color="auto"/>
              <w:left w:val="nil"/>
              <w:bottom w:val="single" w:sz="12" w:space="0" w:color="A5A5A5" w:themeColor="accent3"/>
              <w:right w:val="nil"/>
            </w:tcBorders>
            <w:hideMark/>
          </w:tcPr>
          <w:p w14:paraId="4EE15BD0" w14:textId="77777777" w:rsidR="00726A67" w:rsidRPr="003043AD" w:rsidRDefault="00726A67" w:rsidP="00726A67">
            <w:pPr>
              <w:jc w:val="center"/>
              <w:rPr>
                <w:rFonts w:eastAsiaTheme="minorHAnsi"/>
                <w:color w:val="000000" w:themeColor="text1"/>
              </w:rPr>
            </w:pPr>
            <w:r w:rsidRPr="003043AD">
              <w:rPr>
                <w:rFonts w:eastAsiaTheme="minorHAnsi"/>
                <w:color w:val="000000" w:themeColor="text1"/>
              </w:rPr>
              <w:t>excluded</w:t>
            </w:r>
          </w:p>
        </w:tc>
        <w:tc>
          <w:tcPr>
            <w:tcW w:w="1576" w:type="dxa"/>
            <w:tcBorders>
              <w:top w:val="single" w:sz="4" w:space="0" w:color="auto"/>
              <w:left w:val="nil"/>
              <w:bottom w:val="single" w:sz="12" w:space="0" w:color="A5A5A5" w:themeColor="accent3"/>
              <w:right w:val="nil"/>
            </w:tcBorders>
            <w:hideMark/>
          </w:tcPr>
          <w:p w14:paraId="368C1959" w14:textId="77777777" w:rsidR="00726A67" w:rsidRPr="003043AD" w:rsidRDefault="00726A67" w:rsidP="00726A67">
            <w:pPr>
              <w:jc w:val="center"/>
              <w:rPr>
                <w:rFonts w:eastAsiaTheme="minorHAnsi"/>
                <w:color w:val="000000" w:themeColor="text1"/>
              </w:rPr>
            </w:pPr>
            <w:r w:rsidRPr="003043AD">
              <w:rPr>
                <w:rFonts w:eastAsiaTheme="minorHAnsi"/>
                <w:color w:val="000000" w:themeColor="text1"/>
              </w:rPr>
              <w:t>chi2</w:t>
            </w:r>
          </w:p>
        </w:tc>
        <w:tc>
          <w:tcPr>
            <w:tcW w:w="540" w:type="dxa"/>
            <w:tcBorders>
              <w:top w:val="single" w:sz="4" w:space="0" w:color="auto"/>
              <w:left w:val="nil"/>
              <w:bottom w:val="single" w:sz="12" w:space="0" w:color="A5A5A5" w:themeColor="accent3"/>
              <w:right w:val="nil"/>
            </w:tcBorders>
            <w:hideMark/>
          </w:tcPr>
          <w:p w14:paraId="37B53C8E" w14:textId="77777777" w:rsidR="00726A67" w:rsidRPr="003043AD" w:rsidRDefault="00726A67" w:rsidP="00726A67">
            <w:pPr>
              <w:jc w:val="center"/>
              <w:rPr>
                <w:rFonts w:eastAsiaTheme="minorHAnsi"/>
                <w:color w:val="000000" w:themeColor="text1"/>
              </w:rPr>
            </w:pPr>
            <w:proofErr w:type="spellStart"/>
            <w:r w:rsidRPr="003043AD">
              <w:rPr>
                <w:rFonts w:eastAsiaTheme="minorHAnsi"/>
                <w:color w:val="000000" w:themeColor="text1"/>
              </w:rPr>
              <w:t>df</w:t>
            </w:r>
            <w:proofErr w:type="spellEnd"/>
          </w:p>
        </w:tc>
        <w:tc>
          <w:tcPr>
            <w:tcW w:w="1417" w:type="dxa"/>
            <w:tcBorders>
              <w:top w:val="single" w:sz="4" w:space="0" w:color="auto"/>
              <w:left w:val="nil"/>
              <w:bottom w:val="single" w:sz="12" w:space="0" w:color="A5A5A5" w:themeColor="accent3"/>
              <w:right w:val="nil"/>
            </w:tcBorders>
            <w:hideMark/>
          </w:tcPr>
          <w:p w14:paraId="3EE0E987" w14:textId="77777777" w:rsidR="00726A67" w:rsidRPr="003043AD" w:rsidRDefault="00726A67" w:rsidP="00726A67">
            <w:pPr>
              <w:jc w:val="center"/>
              <w:rPr>
                <w:rFonts w:eastAsiaTheme="minorHAnsi"/>
                <w:color w:val="000000" w:themeColor="text1"/>
              </w:rPr>
            </w:pPr>
            <w:proofErr w:type="spellStart"/>
            <w:r w:rsidRPr="003043AD">
              <w:rPr>
                <w:rFonts w:eastAsiaTheme="minorHAnsi"/>
                <w:color w:val="000000" w:themeColor="text1"/>
              </w:rPr>
              <w:t>prob</w:t>
            </w:r>
            <w:proofErr w:type="spellEnd"/>
            <w:r w:rsidRPr="003043AD">
              <w:rPr>
                <w:rFonts w:eastAsiaTheme="minorHAnsi"/>
                <w:color w:val="000000" w:themeColor="text1"/>
              </w:rPr>
              <w:t>&gt;chi2</w:t>
            </w:r>
          </w:p>
        </w:tc>
      </w:tr>
      <w:tr w:rsidR="00726A67" w:rsidRPr="003043AD" w14:paraId="3755498C" w14:textId="77777777" w:rsidTr="00726A67">
        <w:trPr>
          <w:trHeight w:val="254"/>
        </w:trPr>
        <w:tc>
          <w:tcPr>
            <w:tcW w:w="1838" w:type="dxa"/>
            <w:vMerge w:val="restart"/>
            <w:tcBorders>
              <w:top w:val="single" w:sz="12" w:space="0" w:color="A5A5A5" w:themeColor="accent3"/>
              <w:left w:val="nil"/>
              <w:bottom w:val="nil"/>
              <w:right w:val="single" w:sz="4" w:space="0" w:color="auto"/>
            </w:tcBorders>
          </w:tcPr>
          <w:p w14:paraId="22BDEE25" w14:textId="77777777" w:rsidR="00726A67" w:rsidRPr="003043AD" w:rsidRDefault="00726A67" w:rsidP="00726A67">
            <w:pPr>
              <w:jc w:val="center"/>
              <w:rPr>
                <w:rFonts w:eastAsiaTheme="minorHAnsi"/>
                <w:color w:val="000000" w:themeColor="text1"/>
                <w:sz w:val="20"/>
                <w:szCs w:val="20"/>
              </w:rPr>
            </w:pPr>
            <w:bookmarkStart w:id="10" w:name="OLE_LINK210"/>
            <w:bookmarkStart w:id="11" w:name="OLE_LINK211"/>
            <w:bookmarkStart w:id="12" w:name="OLE_LINK221"/>
            <w:r w:rsidRPr="003043AD">
              <w:rPr>
                <w:rFonts w:eastAsiaTheme="minorHAnsi"/>
                <w:color w:val="000000" w:themeColor="text1"/>
                <w:sz w:val="20"/>
                <w:szCs w:val="20"/>
              </w:rPr>
              <w:t>VAR1</w:t>
            </w:r>
          </w:p>
          <w:p w14:paraId="6B65BC2F" w14:textId="77777777" w:rsidR="00726A67" w:rsidRPr="003043AD" w:rsidRDefault="00726A67" w:rsidP="00726A67">
            <w:pPr>
              <w:jc w:val="center"/>
              <w:rPr>
                <w:rFonts w:eastAsiaTheme="minorHAnsi"/>
                <w:color w:val="000000" w:themeColor="text1"/>
                <w:sz w:val="20"/>
                <w:szCs w:val="20"/>
              </w:rPr>
            </w:pPr>
            <w:bookmarkStart w:id="13" w:name="OLE_LINK198"/>
            <w:r w:rsidRPr="003043AD">
              <w:rPr>
                <w:rFonts w:eastAsiaTheme="minorHAnsi"/>
                <w:color w:val="000000" w:themeColor="text1"/>
                <w:sz w:val="20"/>
                <w:szCs w:val="20"/>
              </w:rPr>
              <w:t>（</w:t>
            </w:r>
            <w:r w:rsidRPr="003043AD">
              <w:rPr>
                <w:rFonts w:eastAsiaTheme="minorHAnsi" w:hint="eastAsia"/>
                <w:color w:val="000000" w:themeColor="text1"/>
                <w:sz w:val="20"/>
                <w:szCs w:val="20"/>
              </w:rPr>
              <w:t>1974-2016</w:t>
            </w:r>
            <w:r w:rsidRPr="003043AD">
              <w:rPr>
                <w:rFonts w:eastAsiaTheme="minorHAnsi"/>
                <w:color w:val="000000" w:themeColor="text1"/>
                <w:sz w:val="20"/>
                <w:szCs w:val="20"/>
              </w:rPr>
              <w:t>）</w:t>
            </w:r>
            <w:bookmarkEnd w:id="10"/>
            <w:bookmarkEnd w:id="11"/>
            <w:bookmarkEnd w:id="12"/>
            <w:bookmarkEnd w:id="13"/>
          </w:p>
        </w:tc>
        <w:tc>
          <w:tcPr>
            <w:tcW w:w="1418" w:type="dxa"/>
            <w:tcBorders>
              <w:top w:val="single" w:sz="12" w:space="0" w:color="A5A5A5" w:themeColor="accent3"/>
              <w:left w:val="single" w:sz="4" w:space="0" w:color="auto"/>
              <w:bottom w:val="nil"/>
              <w:right w:val="nil"/>
            </w:tcBorders>
            <w:hideMark/>
          </w:tcPr>
          <w:p w14:paraId="38F14080" w14:textId="77777777" w:rsidR="00726A67" w:rsidRPr="003043AD" w:rsidRDefault="00726A67" w:rsidP="00726A67">
            <w:pPr>
              <w:jc w:val="center"/>
              <w:rPr>
                <w:rFonts w:eastAsiaTheme="minorHAnsi"/>
                <w:color w:val="000000" w:themeColor="text1"/>
              </w:rPr>
            </w:pPr>
            <w:bookmarkStart w:id="14" w:name="OLE_LINK201"/>
            <w:bookmarkStart w:id="15" w:name="OLE_LINK202"/>
            <w:r>
              <w:rPr>
                <w:rFonts w:eastAsiaTheme="minorHAnsi"/>
                <w:color w:val="000000" w:themeColor="text1"/>
              </w:rPr>
              <w:t>D1.</w:t>
            </w:r>
            <w:bookmarkEnd w:id="14"/>
            <w:bookmarkEnd w:id="15"/>
            <w:r w:rsidRPr="003043AD">
              <w:rPr>
                <w:rFonts w:eastAsiaTheme="minorHAnsi"/>
                <w:color w:val="000000" w:themeColor="text1"/>
              </w:rPr>
              <w:t>qgaso</w:t>
            </w:r>
          </w:p>
        </w:tc>
        <w:tc>
          <w:tcPr>
            <w:tcW w:w="1143" w:type="dxa"/>
            <w:tcBorders>
              <w:top w:val="single" w:sz="12" w:space="0" w:color="A5A5A5" w:themeColor="accent3"/>
              <w:left w:val="nil"/>
              <w:bottom w:val="nil"/>
              <w:right w:val="nil"/>
            </w:tcBorders>
            <w:hideMark/>
          </w:tcPr>
          <w:p w14:paraId="1A4437DC"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pgaso</w:t>
            </w:r>
          </w:p>
        </w:tc>
        <w:tc>
          <w:tcPr>
            <w:tcW w:w="1576" w:type="dxa"/>
            <w:tcBorders>
              <w:top w:val="single" w:sz="12" w:space="0" w:color="A5A5A5" w:themeColor="accent3"/>
              <w:left w:val="nil"/>
              <w:bottom w:val="nil"/>
              <w:right w:val="nil"/>
            </w:tcBorders>
            <w:hideMark/>
          </w:tcPr>
          <w:p w14:paraId="461F9FBB" w14:textId="77777777" w:rsidR="00726A67" w:rsidRPr="003043AD" w:rsidRDefault="00726A67" w:rsidP="00726A67">
            <w:pPr>
              <w:jc w:val="center"/>
              <w:rPr>
                <w:rFonts w:eastAsiaTheme="minorHAnsi"/>
                <w:color w:val="000000" w:themeColor="text1"/>
              </w:rPr>
            </w:pPr>
            <w:r>
              <w:rPr>
                <w:rFonts w:eastAsiaTheme="minorHAnsi"/>
                <w:color w:val="000000" w:themeColor="text1"/>
              </w:rPr>
              <w:t>14.011</w:t>
            </w:r>
          </w:p>
        </w:tc>
        <w:tc>
          <w:tcPr>
            <w:tcW w:w="540" w:type="dxa"/>
            <w:tcBorders>
              <w:top w:val="single" w:sz="12" w:space="0" w:color="A5A5A5" w:themeColor="accent3"/>
              <w:left w:val="nil"/>
              <w:bottom w:val="nil"/>
              <w:right w:val="nil"/>
            </w:tcBorders>
            <w:hideMark/>
          </w:tcPr>
          <w:p w14:paraId="463F943D" w14:textId="77777777" w:rsidR="00726A67" w:rsidRPr="003043AD" w:rsidRDefault="00726A67" w:rsidP="00726A67">
            <w:pPr>
              <w:jc w:val="center"/>
              <w:rPr>
                <w:rFonts w:eastAsiaTheme="minorHAnsi"/>
                <w:color w:val="000000" w:themeColor="text1"/>
              </w:rPr>
            </w:pPr>
            <w:r>
              <w:rPr>
                <w:rFonts w:eastAsiaTheme="minorHAnsi" w:hint="eastAsia"/>
                <w:color w:val="000000" w:themeColor="text1"/>
              </w:rPr>
              <w:t>2</w:t>
            </w:r>
          </w:p>
        </w:tc>
        <w:tc>
          <w:tcPr>
            <w:tcW w:w="1417" w:type="dxa"/>
            <w:tcBorders>
              <w:top w:val="single" w:sz="12" w:space="0" w:color="A5A5A5" w:themeColor="accent3"/>
              <w:left w:val="nil"/>
              <w:bottom w:val="nil"/>
              <w:right w:val="nil"/>
            </w:tcBorders>
            <w:hideMark/>
          </w:tcPr>
          <w:p w14:paraId="1026B0B2" w14:textId="77777777" w:rsidR="00726A67" w:rsidRPr="003043AD" w:rsidRDefault="00726A67" w:rsidP="00726A67">
            <w:pPr>
              <w:jc w:val="center"/>
              <w:rPr>
                <w:rFonts w:eastAsiaTheme="minorHAnsi"/>
                <w:color w:val="000000" w:themeColor="text1"/>
                <w:szCs w:val="21"/>
              </w:rPr>
            </w:pPr>
            <w:r w:rsidRPr="003043AD">
              <w:rPr>
                <w:rFonts w:eastAsiaTheme="minorHAnsi" w:hint="eastAsia"/>
                <w:color w:val="000000" w:themeColor="text1"/>
                <w:szCs w:val="21"/>
              </w:rPr>
              <w:t>0.001</w:t>
            </w:r>
          </w:p>
        </w:tc>
      </w:tr>
      <w:tr w:rsidR="00726A67" w:rsidRPr="003043AD" w14:paraId="40476B33" w14:textId="77777777" w:rsidTr="00726A67">
        <w:trPr>
          <w:trHeight w:val="79"/>
        </w:trPr>
        <w:tc>
          <w:tcPr>
            <w:tcW w:w="1838" w:type="dxa"/>
            <w:vMerge/>
            <w:tcBorders>
              <w:left w:val="nil"/>
              <w:bottom w:val="nil"/>
              <w:right w:val="single" w:sz="4" w:space="0" w:color="auto"/>
            </w:tcBorders>
          </w:tcPr>
          <w:p w14:paraId="5DF35221" w14:textId="77777777" w:rsidR="00726A67" w:rsidRPr="003043AD" w:rsidRDefault="00726A67" w:rsidP="00726A67">
            <w:pPr>
              <w:jc w:val="center"/>
              <w:rPr>
                <w:rFonts w:eastAsiaTheme="minorHAnsi"/>
                <w:color w:val="000000" w:themeColor="text1"/>
                <w:sz w:val="20"/>
                <w:szCs w:val="20"/>
              </w:rPr>
            </w:pPr>
          </w:p>
        </w:tc>
        <w:tc>
          <w:tcPr>
            <w:tcW w:w="1418" w:type="dxa"/>
            <w:tcBorders>
              <w:top w:val="nil"/>
              <w:left w:val="single" w:sz="4" w:space="0" w:color="auto"/>
              <w:bottom w:val="nil"/>
              <w:right w:val="nil"/>
            </w:tcBorders>
            <w:hideMark/>
          </w:tcPr>
          <w:p w14:paraId="5AA2A6C3"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pgaso</w:t>
            </w:r>
          </w:p>
        </w:tc>
        <w:tc>
          <w:tcPr>
            <w:tcW w:w="1143" w:type="dxa"/>
            <w:tcBorders>
              <w:top w:val="nil"/>
              <w:left w:val="nil"/>
              <w:bottom w:val="nil"/>
              <w:right w:val="nil"/>
            </w:tcBorders>
            <w:hideMark/>
          </w:tcPr>
          <w:p w14:paraId="2CE45A76"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qgaso</w:t>
            </w:r>
          </w:p>
        </w:tc>
        <w:tc>
          <w:tcPr>
            <w:tcW w:w="1576" w:type="dxa"/>
            <w:tcBorders>
              <w:top w:val="nil"/>
              <w:left w:val="nil"/>
              <w:bottom w:val="nil"/>
              <w:right w:val="nil"/>
            </w:tcBorders>
            <w:hideMark/>
          </w:tcPr>
          <w:p w14:paraId="4F6F2F9E" w14:textId="77777777" w:rsidR="00726A67" w:rsidRPr="003043AD" w:rsidRDefault="00726A67" w:rsidP="00726A67">
            <w:pPr>
              <w:jc w:val="center"/>
              <w:rPr>
                <w:rFonts w:eastAsiaTheme="minorHAnsi"/>
                <w:color w:val="000000" w:themeColor="text1"/>
              </w:rPr>
            </w:pPr>
            <w:r>
              <w:rPr>
                <w:rFonts w:eastAsiaTheme="minorHAnsi"/>
                <w:color w:val="000000" w:themeColor="text1"/>
              </w:rPr>
              <w:t>4.1143</w:t>
            </w:r>
          </w:p>
        </w:tc>
        <w:tc>
          <w:tcPr>
            <w:tcW w:w="540" w:type="dxa"/>
            <w:tcBorders>
              <w:top w:val="nil"/>
              <w:left w:val="nil"/>
              <w:bottom w:val="nil"/>
              <w:right w:val="nil"/>
            </w:tcBorders>
            <w:hideMark/>
          </w:tcPr>
          <w:p w14:paraId="77829690" w14:textId="77777777" w:rsidR="00726A67" w:rsidRPr="003043AD" w:rsidRDefault="00726A67" w:rsidP="00726A67">
            <w:pPr>
              <w:jc w:val="center"/>
              <w:rPr>
                <w:rFonts w:eastAsiaTheme="minorHAnsi"/>
                <w:color w:val="000000" w:themeColor="text1"/>
              </w:rPr>
            </w:pPr>
            <w:r>
              <w:rPr>
                <w:rFonts w:eastAsiaTheme="minorHAnsi" w:hint="eastAsia"/>
                <w:color w:val="000000" w:themeColor="text1"/>
              </w:rPr>
              <w:t>2</w:t>
            </w:r>
          </w:p>
        </w:tc>
        <w:tc>
          <w:tcPr>
            <w:tcW w:w="1417" w:type="dxa"/>
            <w:tcBorders>
              <w:top w:val="nil"/>
              <w:left w:val="nil"/>
              <w:bottom w:val="nil"/>
              <w:right w:val="nil"/>
            </w:tcBorders>
            <w:hideMark/>
          </w:tcPr>
          <w:p w14:paraId="67D70E2B" w14:textId="77777777" w:rsidR="00726A67" w:rsidRPr="003043AD" w:rsidRDefault="00726A67" w:rsidP="00726A67">
            <w:pPr>
              <w:jc w:val="center"/>
              <w:rPr>
                <w:rFonts w:eastAsiaTheme="minorHAnsi"/>
                <w:color w:val="000000" w:themeColor="text1"/>
                <w:szCs w:val="21"/>
              </w:rPr>
            </w:pPr>
            <w:r w:rsidRPr="003043AD">
              <w:rPr>
                <w:rFonts w:eastAsiaTheme="minorHAnsi" w:hint="eastAsia"/>
                <w:color w:val="000000" w:themeColor="text1"/>
                <w:szCs w:val="21"/>
              </w:rPr>
              <w:t>0.</w:t>
            </w:r>
            <w:r>
              <w:rPr>
                <w:rFonts w:eastAsiaTheme="minorHAnsi"/>
                <w:color w:val="000000" w:themeColor="text1"/>
                <w:szCs w:val="21"/>
              </w:rPr>
              <w:t>128</w:t>
            </w:r>
          </w:p>
        </w:tc>
      </w:tr>
      <w:tr w:rsidR="00726A67" w:rsidRPr="003043AD" w14:paraId="205D515B" w14:textId="77777777" w:rsidTr="00726A67">
        <w:trPr>
          <w:trHeight w:val="79"/>
        </w:trPr>
        <w:tc>
          <w:tcPr>
            <w:tcW w:w="1838" w:type="dxa"/>
            <w:vMerge w:val="restart"/>
            <w:tcBorders>
              <w:top w:val="nil"/>
              <w:left w:val="nil"/>
              <w:bottom w:val="nil"/>
              <w:right w:val="single" w:sz="4" w:space="0" w:color="auto"/>
            </w:tcBorders>
          </w:tcPr>
          <w:p w14:paraId="0EE86CBB" w14:textId="77777777" w:rsidR="00726A67" w:rsidRPr="003043AD" w:rsidRDefault="00726A67" w:rsidP="00726A67">
            <w:pPr>
              <w:jc w:val="center"/>
              <w:rPr>
                <w:rFonts w:eastAsiaTheme="minorHAnsi"/>
                <w:color w:val="000000" w:themeColor="text1"/>
                <w:sz w:val="20"/>
                <w:szCs w:val="20"/>
              </w:rPr>
            </w:pPr>
            <w:bookmarkStart w:id="16" w:name="OLE_LINK212"/>
            <w:bookmarkStart w:id="17" w:name="OLE_LINK213"/>
            <w:bookmarkStart w:id="18" w:name="OLE_LINK222"/>
            <w:r w:rsidRPr="003043AD">
              <w:rPr>
                <w:rFonts w:eastAsiaTheme="minorHAnsi"/>
                <w:color w:val="000000" w:themeColor="text1"/>
                <w:sz w:val="20"/>
                <w:szCs w:val="20"/>
              </w:rPr>
              <w:t>VAR2</w:t>
            </w:r>
          </w:p>
          <w:p w14:paraId="059FF650" w14:textId="77777777" w:rsidR="00726A67" w:rsidRPr="003043AD" w:rsidRDefault="00726A67" w:rsidP="00726A67">
            <w:pPr>
              <w:jc w:val="center"/>
              <w:rPr>
                <w:rFonts w:eastAsiaTheme="minorHAnsi"/>
                <w:color w:val="000000" w:themeColor="text1"/>
                <w:sz w:val="20"/>
                <w:szCs w:val="20"/>
              </w:rPr>
            </w:pPr>
            <w:r w:rsidRPr="003043AD">
              <w:rPr>
                <w:rFonts w:eastAsiaTheme="minorHAnsi"/>
                <w:color w:val="000000" w:themeColor="text1"/>
                <w:sz w:val="20"/>
                <w:szCs w:val="20"/>
              </w:rPr>
              <w:t>(</w:t>
            </w:r>
            <w:r w:rsidRPr="003043AD">
              <w:rPr>
                <w:rFonts w:eastAsiaTheme="minorHAnsi" w:hint="eastAsia"/>
                <w:color w:val="000000" w:themeColor="text1"/>
                <w:sz w:val="20"/>
                <w:szCs w:val="20"/>
              </w:rPr>
              <w:t>1974-1997</w:t>
            </w:r>
            <w:r w:rsidRPr="003043AD">
              <w:rPr>
                <w:rFonts w:eastAsiaTheme="minorHAnsi"/>
                <w:color w:val="000000" w:themeColor="text1"/>
                <w:sz w:val="20"/>
                <w:szCs w:val="20"/>
              </w:rPr>
              <w:t>)</w:t>
            </w:r>
            <w:bookmarkEnd w:id="16"/>
            <w:bookmarkEnd w:id="17"/>
            <w:bookmarkEnd w:id="18"/>
          </w:p>
        </w:tc>
        <w:tc>
          <w:tcPr>
            <w:tcW w:w="1418" w:type="dxa"/>
            <w:tcBorders>
              <w:top w:val="nil"/>
              <w:left w:val="single" w:sz="4" w:space="0" w:color="auto"/>
              <w:bottom w:val="nil"/>
              <w:right w:val="nil"/>
            </w:tcBorders>
          </w:tcPr>
          <w:p w14:paraId="64B90D43"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qgaso</w:t>
            </w:r>
          </w:p>
        </w:tc>
        <w:tc>
          <w:tcPr>
            <w:tcW w:w="1143" w:type="dxa"/>
            <w:tcBorders>
              <w:top w:val="nil"/>
              <w:left w:val="nil"/>
              <w:bottom w:val="nil"/>
              <w:right w:val="nil"/>
            </w:tcBorders>
          </w:tcPr>
          <w:p w14:paraId="2A3EB801"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pgaso</w:t>
            </w:r>
          </w:p>
        </w:tc>
        <w:tc>
          <w:tcPr>
            <w:tcW w:w="1576" w:type="dxa"/>
            <w:tcBorders>
              <w:top w:val="nil"/>
              <w:left w:val="nil"/>
              <w:bottom w:val="nil"/>
              <w:right w:val="nil"/>
            </w:tcBorders>
          </w:tcPr>
          <w:p w14:paraId="4325D116" w14:textId="77777777" w:rsidR="00726A67" w:rsidRPr="003043AD" w:rsidRDefault="00726A67" w:rsidP="00726A67">
            <w:pPr>
              <w:jc w:val="center"/>
              <w:rPr>
                <w:rFonts w:eastAsiaTheme="minorHAnsi"/>
                <w:color w:val="000000" w:themeColor="text1"/>
              </w:rPr>
            </w:pPr>
            <w:r>
              <w:rPr>
                <w:rFonts w:eastAsiaTheme="minorHAnsi"/>
                <w:color w:val="000000" w:themeColor="text1"/>
              </w:rPr>
              <w:t>5.5833</w:t>
            </w:r>
          </w:p>
        </w:tc>
        <w:tc>
          <w:tcPr>
            <w:tcW w:w="540" w:type="dxa"/>
            <w:tcBorders>
              <w:top w:val="nil"/>
              <w:left w:val="nil"/>
              <w:bottom w:val="nil"/>
              <w:right w:val="nil"/>
            </w:tcBorders>
          </w:tcPr>
          <w:p w14:paraId="1CD300DA" w14:textId="77777777" w:rsidR="00726A67" w:rsidRPr="003043AD" w:rsidRDefault="00726A67" w:rsidP="00726A67">
            <w:pPr>
              <w:jc w:val="center"/>
              <w:rPr>
                <w:rFonts w:eastAsiaTheme="minorHAnsi"/>
                <w:color w:val="000000" w:themeColor="text1"/>
              </w:rPr>
            </w:pPr>
            <w:r>
              <w:rPr>
                <w:rFonts w:eastAsiaTheme="minorHAnsi"/>
                <w:color w:val="000000" w:themeColor="text1"/>
              </w:rPr>
              <w:t>2</w:t>
            </w:r>
          </w:p>
        </w:tc>
        <w:tc>
          <w:tcPr>
            <w:tcW w:w="1417" w:type="dxa"/>
            <w:tcBorders>
              <w:top w:val="nil"/>
              <w:left w:val="nil"/>
              <w:bottom w:val="nil"/>
              <w:right w:val="nil"/>
            </w:tcBorders>
          </w:tcPr>
          <w:p w14:paraId="65D46616" w14:textId="77777777" w:rsidR="00726A67" w:rsidRPr="003043AD" w:rsidRDefault="00726A67" w:rsidP="00726A67">
            <w:pPr>
              <w:jc w:val="center"/>
              <w:rPr>
                <w:rFonts w:eastAsiaTheme="minorHAnsi"/>
                <w:color w:val="000000" w:themeColor="text1"/>
                <w:szCs w:val="21"/>
              </w:rPr>
            </w:pPr>
            <w:r>
              <w:rPr>
                <w:rFonts w:eastAsiaTheme="minorHAnsi"/>
                <w:color w:val="000000" w:themeColor="text1"/>
                <w:szCs w:val="21"/>
              </w:rPr>
              <w:t>0.061</w:t>
            </w:r>
          </w:p>
        </w:tc>
      </w:tr>
      <w:tr w:rsidR="00726A67" w:rsidRPr="003043AD" w14:paraId="52344C95" w14:textId="77777777" w:rsidTr="00726A67">
        <w:tc>
          <w:tcPr>
            <w:tcW w:w="1838" w:type="dxa"/>
            <w:vMerge/>
            <w:tcBorders>
              <w:left w:val="nil"/>
              <w:bottom w:val="nil"/>
              <w:right w:val="single" w:sz="4" w:space="0" w:color="auto"/>
            </w:tcBorders>
          </w:tcPr>
          <w:p w14:paraId="3706D119" w14:textId="77777777" w:rsidR="00726A67" w:rsidRPr="003043AD" w:rsidRDefault="00726A67" w:rsidP="00726A67">
            <w:pPr>
              <w:jc w:val="center"/>
              <w:rPr>
                <w:rFonts w:eastAsiaTheme="minorHAnsi"/>
                <w:color w:val="000000" w:themeColor="text1"/>
                <w:sz w:val="20"/>
                <w:szCs w:val="20"/>
              </w:rPr>
            </w:pPr>
          </w:p>
        </w:tc>
        <w:tc>
          <w:tcPr>
            <w:tcW w:w="1418" w:type="dxa"/>
            <w:tcBorders>
              <w:top w:val="nil"/>
              <w:left w:val="single" w:sz="4" w:space="0" w:color="auto"/>
              <w:bottom w:val="nil"/>
              <w:right w:val="nil"/>
            </w:tcBorders>
          </w:tcPr>
          <w:p w14:paraId="1B907909"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pgaso</w:t>
            </w:r>
          </w:p>
        </w:tc>
        <w:tc>
          <w:tcPr>
            <w:tcW w:w="1143" w:type="dxa"/>
            <w:tcBorders>
              <w:top w:val="nil"/>
              <w:left w:val="nil"/>
              <w:bottom w:val="nil"/>
              <w:right w:val="nil"/>
            </w:tcBorders>
          </w:tcPr>
          <w:p w14:paraId="108016A7" w14:textId="77777777" w:rsidR="00726A67" w:rsidRPr="003043AD" w:rsidRDefault="00726A67" w:rsidP="00726A67">
            <w:pPr>
              <w:jc w:val="center"/>
              <w:rPr>
                <w:rFonts w:eastAsiaTheme="minorHAnsi"/>
                <w:color w:val="000000" w:themeColor="text1"/>
              </w:rPr>
            </w:pPr>
            <w:r>
              <w:rPr>
                <w:rFonts w:eastAsiaTheme="minorHAnsi"/>
                <w:color w:val="000000" w:themeColor="text1"/>
              </w:rPr>
              <w:t>D1.</w:t>
            </w:r>
            <w:r w:rsidRPr="003043AD">
              <w:rPr>
                <w:rFonts w:eastAsiaTheme="minorHAnsi"/>
                <w:color w:val="000000" w:themeColor="text1"/>
              </w:rPr>
              <w:t>qgaso</w:t>
            </w:r>
          </w:p>
        </w:tc>
        <w:tc>
          <w:tcPr>
            <w:tcW w:w="1576" w:type="dxa"/>
            <w:tcBorders>
              <w:top w:val="nil"/>
              <w:left w:val="nil"/>
              <w:bottom w:val="nil"/>
              <w:right w:val="nil"/>
            </w:tcBorders>
          </w:tcPr>
          <w:p w14:paraId="1CF1C9FB" w14:textId="77777777" w:rsidR="00726A67" w:rsidRPr="003043AD" w:rsidRDefault="00726A67" w:rsidP="00726A67">
            <w:pPr>
              <w:jc w:val="center"/>
              <w:rPr>
                <w:rFonts w:eastAsiaTheme="minorHAnsi"/>
                <w:color w:val="000000" w:themeColor="text1"/>
              </w:rPr>
            </w:pPr>
            <w:r>
              <w:rPr>
                <w:rFonts w:eastAsiaTheme="minorHAnsi"/>
                <w:color w:val="000000" w:themeColor="text1"/>
              </w:rPr>
              <w:t>3.9161</w:t>
            </w:r>
          </w:p>
        </w:tc>
        <w:tc>
          <w:tcPr>
            <w:tcW w:w="540" w:type="dxa"/>
            <w:tcBorders>
              <w:top w:val="nil"/>
              <w:left w:val="nil"/>
              <w:bottom w:val="nil"/>
              <w:right w:val="nil"/>
            </w:tcBorders>
          </w:tcPr>
          <w:p w14:paraId="02DE5656" w14:textId="77777777" w:rsidR="00726A67" w:rsidRPr="003043AD" w:rsidRDefault="00726A67" w:rsidP="00726A67">
            <w:pPr>
              <w:jc w:val="center"/>
              <w:rPr>
                <w:rFonts w:eastAsiaTheme="minorHAnsi"/>
                <w:color w:val="000000" w:themeColor="text1"/>
              </w:rPr>
            </w:pPr>
            <w:r>
              <w:rPr>
                <w:rFonts w:eastAsiaTheme="minorHAnsi"/>
                <w:color w:val="000000" w:themeColor="text1"/>
              </w:rPr>
              <w:t>2</w:t>
            </w:r>
          </w:p>
        </w:tc>
        <w:tc>
          <w:tcPr>
            <w:tcW w:w="1417" w:type="dxa"/>
            <w:tcBorders>
              <w:top w:val="nil"/>
              <w:left w:val="nil"/>
              <w:bottom w:val="nil"/>
              <w:right w:val="nil"/>
            </w:tcBorders>
          </w:tcPr>
          <w:p w14:paraId="26A2E4E8" w14:textId="77777777" w:rsidR="00726A67" w:rsidRPr="003043AD" w:rsidRDefault="00726A67" w:rsidP="00726A67">
            <w:pPr>
              <w:keepNext/>
              <w:jc w:val="center"/>
              <w:rPr>
                <w:rFonts w:eastAsiaTheme="minorHAnsi"/>
                <w:color w:val="000000" w:themeColor="text1"/>
                <w:szCs w:val="21"/>
              </w:rPr>
            </w:pPr>
            <w:r w:rsidRPr="003043AD">
              <w:rPr>
                <w:rFonts w:eastAsiaTheme="minorHAnsi" w:hint="eastAsia"/>
                <w:color w:val="000000" w:themeColor="text1"/>
                <w:szCs w:val="21"/>
              </w:rPr>
              <w:t>0.</w:t>
            </w:r>
            <w:r>
              <w:rPr>
                <w:rFonts w:eastAsiaTheme="minorHAnsi"/>
                <w:color w:val="000000" w:themeColor="text1"/>
                <w:szCs w:val="21"/>
              </w:rPr>
              <w:t>141</w:t>
            </w:r>
          </w:p>
        </w:tc>
      </w:tr>
    </w:tbl>
    <w:p w14:paraId="3B6AD8BB" w14:textId="77777777" w:rsidR="00726A67" w:rsidRDefault="00726A67" w:rsidP="00726A67">
      <w:pPr>
        <w:pStyle w:val="af3"/>
        <w:jc w:val="center"/>
      </w:pPr>
      <w:bookmarkStart w:id="19" w:name="OLE_LINK262"/>
      <w:bookmarkStart w:id="20" w:name="OLE_LINK263"/>
      <w:r>
        <w:t xml:space="preserve">Table </w:t>
      </w:r>
      <w:fldSimple w:instr=" SEQ Table \* ARABIC ">
        <w:r>
          <w:rPr>
            <w:noProof/>
          </w:rPr>
          <w:t>3</w:t>
        </w:r>
      </w:fldSimple>
      <w:r>
        <w:rPr>
          <w:rFonts w:hint="eastAsia"/>
        </w:rPr>
        <w:t xml:space="preserve">　データセットのGranger因果性検定</w:t>
      </w:r>
    </w:p>
    <w:bookmarkEnd w:id="19"/>
    <w:bookmarkEnd w:id="20"/>
    <w:p w14:paraId="0D09474B" w14:textId="77777777" w:rsidR="00726A67" w:rsidRDefault="00726A67" w:rsidP="00726A67">
      <w:pPr>
        <w:rPr>
          <w:rFonts w:eastAsiaTheme="minorHAnsi"/>
          <w:color w:val="000000" w:themeColor="text1"/>
          <w:szCs w:val="21"/>
        </w:rPr>
      </w:pPr>
      <w:r>
        <w:rPr>
          <w:rFonts w:eastAsiaTheme="minorHAnsi" w:hint="eastAsia"/>
          <w:color w:val="000000" w:themeColor="text1"/>
          <w:szCs w:val="21"/>
        </w:rPr>
        <w:t>３）</w:t>
      </w:r>
    </w:p>
    <w:p w14:paraId="3800B50E" w14:textId="77777777" w:rsidR="00726A67" w:rsidRPr="005313DB" w:rsidRDefault="00726A67" w:rsidP="00726A67">
      <w:pPr>
        <w:rPr>
          <w:rFonts w:eastAsiaTheme="minorHAnsi"/>
          <w:color w:val="000000" w:themeColor="text1"/>
          <w:szCs w:val="21"/>
        </w:rPr>
      </w:pPr>
      <w:r>
        <w:rPr>
          <w:rFonts w:eastAsiaTheme="minorHAnsi" w:hint="eastAsia"/>
          <w:color w:val="000000" w:themeColor="text1"/>
          <w:szCs w:val="21"/>
        </w:rPr>
        <w:t>定常性においては、VAR１やVAR２両方とも５％以上有意でADF検定を通過したとがわかった。</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659"/>
        <w:gridCol w:w="1658"/>
        <w:gridCol w:w="1658"/>
        <w:gridCol w:w="1658"/>
      </w:tblGrid>
      <w:tr w:rsidR="00726A67" w:rsidRPr="000E0BF1" w14:paraId="10FAA36E" w14:textId="77777777" w:rsidTr="00726A67">
        <w:tc>
          <w:tcPr>
            <w:tcW w:w="1855" w:type="dxa"/>
            <w:tcBorders>
              <w:bottom w:val="single" w:sz="12" w:space="0" w:color="7F7F7F" w:themeColor="text1" w:themeTint="80"/>
              <w:right w:val="single" w:sz="4" w:space="0" w:color="auto"/>
            </w:tcBorders>
          </w:tcPr>
          <w:p w14:paraId="0E2EA564" w14:textId="77777777" w:rsidR="00726A67" w:rsidRPr="003043AD" w:rsidRDefault="00726A67" w:rsidP="00726A67">
            <w:pPr>
              <w:jc w:val="center"/>
              <w:rPr>
                <w:rFonts w:eastAsiaTheme="minorHAnsi"/>
                <w:color w:val="000000" w:themeColor="text1"/>
                <w:sz w:val="20"/>
                <w:szCs w:val="20"/>
              </w:rPr>
            </w:pPr>
            <w:r w:rsidRPr="003043AD">
              <w:rPr>
                <w:rFonts w:eastAsiaTheme="minorHAnsi"/>
                <w:color w:val="000000" w:themeColor="text1"/>
                <w:sz w:val="20"/>
                <w:szCs w:val="20"/>
              </w:rPr>
              <w:t>VAR1</w:t>
            </w:r>
          </w:p>
          <w:p w14:paraId="2E8BB5DC" w14:textId="77777777" w:rsidR="00726A67" w:rsidRDefault="00726A67" w:rsidP="00726A67">
            <w:pPr>
              <w:jc w:val="center"/>
            </w:pPr>
            <w:r w:rsidRPr="003043AD">
              <w:rPr>
                <w:rFonts w:eastAsiaTheme="minorHAnsi"/>
                <w:color w:val="000000" w:themeColor="text1"/>
                <w:sz w:val="20"/>
                <w:szCs w:val="20"/>
              </w:rPr>
              <w:t>（</w:t>
            </w:r>
            <w:r w:rsidRPr="003043AD">
              <w:rPr>
                <w:rFonts w:eastAsiaTheme="minorHAnsi" w:hint="eastAsia"/>
                <w:color w:val="000000" w:themeColor="text1"/>
                <w:sz w:val="20"/>
                <w:szCs w:val="20"/>
              </w:rPr>
              <w:t>1974-2016</w:t>
            </w:r>
            <w:r w:rsidRPr="003043AD">
              <w:rPr>
                <w:rFonts w:eastAsiaTheme="minorHAnsi"/>
                <w:color w:val="000000" w:themeColor="text1"/>
                <w:sz w:val="20"/>
                <w:szCs w:val="20"/>
              </w:rPr>
              <w:t>）</w:t>
            </w:r>
          </w:p>
        </w:tc>
        <w:tc>
          <w:tcPr>
            <w:tcW w:w="1659" w:type="dxa"/>
            <w:tcBorders>
              <w:left w:val="single" w:sz="4" w:space="0" w:color="auto"/>
              <w:bottom w:val="single" w:sz="12" w:space="0" w:color="7F7F7F" w:themeColor="text1" w:themeTint="80"/>
            </w:tcBorders>
          </w:tcPr>
          <w:p w14:paraId="40CC8C2B" w14:textId="77777777" w:rsidR="00726A67" w:rsidRDefault="00726A67" w:rsidP="00726A67">
            <w:pPr>
              <w:jc w:val="center"/>
              <w:rPr>
                <w:lang w:eastAsia="zh-CN"/>
              </w:rPr>
            </w:pPr>
            <w:r w:rsidRPr="000E0BF1">
              <w:t>Test</w:t>
            </w:r>
            <w:r>
              <w:rPr>
                <w:rFonts w:hint="eastAsia"/>
                <w:lang w:eastAsia="zh-CN"/>
              </w:rPr>
              <w:t xml:space="preserve"> </w:t>
            </w:r>
            <w:r w:rsidRPr="000E0BF1">
              <w:rPr>
                <w:lang w:eastAsia="zh-CN"/>
              </w:rPr>
              <w:t>Statistic</w:t>
            </w:r>
          </w:p>
        </w:tc>
        <w:tc>
          <w:tcPr>
            <w:tcW w:w="1658" w:type="dxa"/>
            <w:tcBorders>
              <w:bottom w:val="single" w:sz="12" w:space="0" w:color="7F7F7F" w:themeColor="text1" w:themeTint="80"/>
            </w:tcBorders>
          </w:tcPr>
          <w:p w14:paraId="022A1FE5" w14:textId="77777777" w:rsidR="00726A67" w:rsidRDefault="00726A67" w:rsidP="00726A67">
            <w:pPr>
              <w:jc w:val="center"/>
              <w:rPr>
                <w:lang w:eastAsia="zh-CN"/>
              </w:rPr>
            </w:pPr>
            <w:r w:rsidRPr="000E0BF1">
              <w:t>1% Critical</w:t>
            </w:r>
            <w:r>
              <w:rPr>
                <w:rFonts w:hint="eastAsia"/>
                <w:lang w:eastAsia="zh-CN"/>
              </w:rPr>
              <w:t xml:space="preserve"> </w:t>
            </w:r>
            <w:r w:rsidRPr="000E0BF1">
              <w:rPr>
                <w:lang w:eastAsia="zh-CN"/>
              </w:rPr>
              <w:t>Value</w:t>
            </w:r>
          </w:p>
        </w:tc>
        <w:tc>
          <w:tcPr>
            <w:tcW w:w="1658" w:type="dxa"/>
            <w:tcBorders>
              <w:bottom w:val="single" w:sz="12" w:space="0" w:color="7F7F7F" w:themeColor="text1" w:themeTint="80"/>
            </w:tcBorders>
          </w:tcPr>
          <w:p w14:paraId="2516589A" w14:textId="77777777" w:rsidR="00726A67" w:rsidRDefault="00726A67" w:rsidP="00726A67">
            <w:pPr>
              <w:jc w:val="center"/>
            </w:pPr>
            <w:r w:rsidRPr="000E0BF1">
              <w:t>5% Critical</w:t>
            </w:r>
            <w:r>
              <w:rPr>
                <w:rFonts w:hint="eastAsia"/>
                <w:lang w:eastAsia="zh-CN"/>
              </w:rPr>
              <w:t xml:space="preserve"> </w:t>
            </w:r>
            <w:r w:rsidRPr="000E0BF1">
              <w:rPr>
                <w:lang w:eastAsia="zh-CN"/>
              </w:rPr>
              <w:t>Value</w:t>
            </w:r>
          </w:p>
        </w:tc>
        <w:tc>
          <w:tcPr>
            <w:tcW w:w="1658" w:type="dxa"/>
            <w:tcBorders>
              <w:bottom w:val="single" w:sz="12" w:space="0" w:color="7F7F7F" w:themeColor="text1" w:themeTint="80"/>
            </w:tcBorders>
          </w:tcPr>
          <w:p w14:paraId="6551DF91" w14:textId="77777777" w:rsidR="00726A67" w:rsidRPr="000E0BF1" w:rsidRDefault="00726A67" w:rsidP="00726A67">
            <w:pPr>
              <w:jc w:val="center"/>
            </w:pPr>
            <w:r w:rsidRPr="000E0BF1">
              <w:t>10% Critical</w:t>
            </w:r>
            <w:r>
              <w:rPr>
                <w:rFonts w:hint="eastAsia"/>
                <w:lang w:eastAsia="zh-CN"/>
              </w:rPr>
              <w:t xml:space="preserve"> </w:t>
            </w:r>
            <w:r w:rsidRPr="000E0BF1">
              <w:rPr>
                <w:lang w:eastAsia="zh-CN"/>
              </w:rPr>
              <w:t>Value</w:t>
            </w:r>
          </w:p>
        </w:tc>
      </w:tr>
      <w:tr w:rsidR="00726A67" w14:paraId="48DE6CB2" w14:textId="77777777" w:rsidTr="00726A67">
        <w:tc>
          <w:tcPr>
            <w:tcW w:w="1855" w:type="dxa"/>
            <w:tcBorders>
              <w:top w:val="single" w:sz="12" w:space="0" w:color="7F7F7F" w:themeColor="text1" w:themeTint="80"/>
              <w:right w:val="single" w:sz="4" w:space="0" w:color="auto"/>
            </w:tcBorders>
          </w:tcPr>
          <w:p w14:paraId="7A5C800F" w14:textId="77777777" w:rsidR="00726A67" w:rsidRDefault="00726A67" w:rsidP="00726A67">
            <w:pPr>
              <w:jc w:val="center"/>
            </w:pPr>
            <w:r w:rsidRPr="00BE2B7C">
              <w:t>D1.lpgaso</w:t>
            </w:r>
          </w:p>
        </w:tc>
        <w:tc>
          <w:tcPr>
            <w:tcW w:w="1659" w:type="dxa"/>
            <w:tcBorders>
              <w:top w:val="single" w:sz="12" w:space="0" w:color="7F7F7F" w:themeColor="text1" w:themeTint="80"/>
              <w:left w:val="single" w:sz="4" w:space="0" w:color="auto"/>
            </w:tcBorders>
          </w:tcPr>
          <w:p w14:paraId="49A9BC21" w14:textId="77777777" w:rsidR="00726A67" w:rsidRDefault="00726A67" w:rsidP="00726A67">
            <w:pPr>
              <w:jc w:val="center"/>
            </w:pPr>
            <w:r w:rsidRPr="00BE2B7C">
              <w:t>-</w:t>
            </w:r>
            <w:r>
              <w:t>5.460</w:t>
            </w:r>
          </w:p>
        </w:tc>
        <w:tc>
          <w:tcPr>
            <w:tcW w:w="1658" w:type="dxa"/>
            <w:tcBorders>
              <w:top w:val="single" w:sz="12" w:space="0" w:color="7F7F7F" w:themeColor="text1" w:themeTint="80"/>
            </w:tcBorders>
          </w:tcPr>
          <w:p w14:paraId="0FA3216C" w14:textId="77777777" w:rsidR="00726A67" w:rsidRDefault="00726A67" w:rsidP="00726A67">
            <w:pPr>
              <w:jc w:val="center"/>
            </w:pPr>
            <w:r w:rsidRPr="00BE2B7C">
              <w:t>-3.</w:t>
            </w:r>
            <w:r>
              <w:t>648</w:t>
            </w:r>
          </w:p>
        </w:tc>
        <w:tc>
          <w:tcPr>
            <w:tcW w:w="1658" w:type="dxa"/>
            <w:tcBorders>
              <w:top w:val="single" w:sz="12" w:space="0" w:color="7F7F7F" w:themeColor="text1" w:themeTint="80"/>
            </w:tcBorders>
          </w:tcPr>
          <w:p w14:paraId="0045E123" w14:textId="77777777" w:rsidR="00726A67" w:rsidRDefault="00726A67" w:rsidP="00726A67">
            <w:pPr>
              <w:jc w:val="center"/>
            </w:pPr>
            <w:r>
              <w:t>-2.958</w:t>
            </w:r>
          </w:p>
        </w:tc>
        <w:tc>
          <w:tcPr>
            <w:tcW w:w="1658" w:type="dxa"/>
            <w:tcBorders>
              <w:top w:val="single" w:sz="12" w:space="0" w:color="7F7F7F" w:themeColor="text1" w:themeTint="80"/>
            </w:tcBorders>
          </w:tcPr>
          <w:p w14:paraId="13DAB856" w14:textId="77777777" w:rsidR="00726A67" w:rsidRDefault="00726A67" w:rsidP="00726A67">
            <w:pPr>
              <w:jc w:val="center"/>
            </w:pPr>
            <w:r w:rsidRPr="00BE2B7C">
              <w:t>-2.6</w:t>
            </w:r>
            <w:r>
              <w:t>12</w:t>
            </w:r>
          </w:p>
        </w:tc>
      </w:tr>
      <w:tr w:rsidR="00726A67" w14:paraId="6A29E732" w14:textId="77777777" w:rsidTr="00726A67">
        <w:tc>
          <w:tcPr>
            <w:tcW w:w="1855" w:type="dxa"/>
            <w:tcBorders>
              <w:right w:val="single" w:sz="4" w:space="0" w:color="auto"/>
            </w:tcBorders>
          </w:tcPr>
          <w:p w14:paraId="17FCCC61" w14:textId="77777777" w:rsidR="00726A67" w:rsidRDefault="00726A67" w:rsidP="00726A67">
            <w:pPr>
              <w:jc w:val="center"/>
            </w:pPr>
            <w:r w:rsidRPr="00BE2B7C">
              <w:t>D1.lqgaso</w:t>
            </w:r>
          </w:p>
        </w:tc>
        <w:tc>
          <w:tcPr>
            <w:tcW w:w="1659" w:type="dxa"/>
            <w:tcBorders>
              <w:left w:val="single" w:sz="4" w:space="0" w:color="auto"/>
            </w:tcBorders>
          </w:tcPr>
          <w:p w14:paraId="58395784" w14:textId="77777777" w:rsidR="00726A67" w:rsidRDefault="00726A67" w:rsidP="00726A67">
            <w:pPr>
              <w:jc w:val="center"/>
            </w:pPr>
            <w:r>
              <w:t>-3.480</w:t>
            </w:r>
          </w:p>
        </w:tc>
        <w:tc>
          <w:tcPr>
            <w:tcW w:w="1658" w:type="dxa"/>
          </w:tcPr>
          <w:p w14:paraId="2ADF3839" w14:textId="77777777" w:rsidR="00726A67" w:rsidRDefault="00726A67" w:rsidP="00726A67">
            <w:pPr>
              <w:jc w:val="center"/>
            </w:pPr>
            <w:r w:rsidRPr="00BE2B7C">
              <w:t>-3.</w:t>
            </w:r>
            <w:r>
              <w:t>648</w:t>
            </w:r>
          </w:p>
        </w:tc>
        <w:tc>
          <w:tcPr>
            <w:tcW w:w="1658" w:type="dxa"/>
          </w:tcPr>
          <w:p w14:paraId="507CB14E" w14:textId="77777777" w:rsidR="00726A67" w:rsidRDefault="00726A67" w:rsidP="00726A67">
            <w:pPr>
              <w:jc w:val="center"/>
            </w:pPr>
            <w:r>
              <w:t>-2.958</w:t>
            </w:r>
          </w:p>
        </w:tc>
        <w:tc>
          <w:tcPr>
            <w:tcW w:w="1658" w:type="dxa"/>
          </w:tcPr>
          <w:p w14:paraId="5AAAEBEE" w14:textId="77777777" w:rsidR="00726A67" w:rsidRDefault="00726A67" w:rsidP="00726A67">
            <w:pPr>
              <w:jc w:val="center"/>
            </w:pPr>
            <w:r w:rsidRPr="00BE2B7C">
              <w:t>-2.6</w:t>
            </w:r>
            <w:r>
              <w:t>12</w:t>
            </w:r>
          </w:p>
        </w:tc>
      </w:tr>
      <w:tr w:rsidR="00726A67" w14:paraId="05D0D2CD" w14:textId="77777777" w:rsidTr="00726A67">
        <w:tc>
          <w:tcPr>
            <w:tcW w:w="1855" w:type="dxa"/>
            <w:tcBorders>
              <w:right w:val="single" w:sz="4" w:space="0" w:color="auto"/>
            </w:tcBorders>
          </w:tcPr>
          <w:p w14:paraId="64974BEB" w14:textId="77777777" w:rsidR="00726A67" w:rsidRDefault="00726A67" w:rsidP="00726A67">
            <w:pPr>
              <w:jc w:val="center"/>
            </w:pPr>
            <w:r w:rsidRPr="00555200">
              <w:t>D1.lrealoilprice</w:t>
            </w:r>
          </w:p>
        </w:tc>
        <w:tc>
          <w:tcPr>
            <w:tcW w:w="1659" w:type="dxa"/>
            <w:tcBorders>
              <w:left w:val="single" w:sz="4" w:space="0" w:color="auto"/>
            </w:tcBorders>
          </w:tcPr>
          <w:p w14:paraId="1B485FA6" w14:textId="77777777" w:rsidR="00726A67" w:rsidRDefault="00726A67" w:rsidP="00726A67">
            <w:pPr>
              <w:jc w:val="center"/>
            </w:pPr>
            <w:r w:rsidRPr="00555200">
              <w:t>-</w:t>
            </w:r>
            <w:r>
              <w:t>6.765</w:t>
            </w:r>
          </w:p>
        </w:tc>
        <w:tc>
          <w:tcPr>
            <w:tcW w:w="1658" w:type="dxa"/>
          </w:tcPr>
          <w:p w14:paraId="428A1EA6" w14:textId="77777777" w:rsidR="00726A67" w:rsidRDefault="00726A67" w:rsidP="00726A67">
            <w:pPr>
              <w:jc w:val="center"/>
            </w:pPr>
            <w:r w:rsidRPr="00BE2B7C">
              <w:t>-3.</w:t>
            </w:r>
            <w:r>
              <w:t>648</w:t>
            </w:r>
          </w:p>
        </w:tc>
        <w:tc>
          <w:tcPr>
            <w:tcW w:w="1658" w:type="dxa"/>
          </w:tcPr>
          <w:p w14:paraId="47C69AC0" w14:textId="77777777" w:rsidR="00726A67" w:rsidRDefault="00726A67" w:rsidP="00726A67">
            <w:pPr>
              <w:jc w:val="center"/>
            </w:pPr>
            <w:r>
              <w:t>-2.958</w:t>
            </w:r>
          </w:p>
        </w:tc>
        <w:tc>
          <w:tcPr>
            <w:tcW w:w="1658" w:type="dxa"/>
          </w:tcPr>
          <w:p w14:paraId="292B866D" w14:textId="77777777" w:rsidR="00726A67" w:rsidRDefault="00726A67" w:rsidP="00726A67">
            <w:pPr>
              <w:jc w:val="center"/>
            </w:pPr>
            <w:r w:rsidRPr="00BE2B7C">
              <w:t>-2.6</w:t>
            </w:r>
            <w:r>
              <w:t>12</w:t>
            </w:r>
          </w:p>
        </w:tc>
      </w:tr>
      <w:tr w:rsidR="00726A67" w14:paraId="76D1123F" w14:textId="77777777" w:rsidTr="00726A67">
        <w:tc>
          <w:tcPr>
            <w:tcW w:w="1855" w:type="dxa"/>
            <w:tcBorders>
              <w:right w:val="single" w:sz="4" w:space="0" w:color="auto"/>
            </w:tcBorders>
          </w:tcPr>
          <w:p w14:paraId="3733B5B9" w14:textId="77777777" w:rsidR="00726A67" w:rsidRDefault="00726A67" w:rsidP="00726A67">
            <w:pPr>
              <w:jc w:val="center"/>
            </w:pPr>
            <w:r w:rsidRPr="00555200">
              <w:t>D1.lrealgdp</w:t>
            </w:r>
          </w:p>
        </w:tc>
        <w:tc>
          <w:tcPr>
            <w:tcW w:w="1659" w:type="dxa"/>
            <w:tcBorders>
              <w:left w:val="single" w:sz="4" w:space="0" w:color="auto"/>
            </w:tcBorders>
          </w:tcPr>
          <w:p w14:paraId="55CF5D56" w14:textId="77777777" w:rsidR="00726A67" w:rsidRDefault="00726A67" w:rsidP="00726A67">
            <w:pPr>
              <w:jc w:val="center"/>
            </w:pPr>
            <w:r w:rsidRPr="00F553F7">
              <w:t>-5.</w:t>
            </w:r>
            <w:r>
              <w:t>322</w:t>
            </w:r>
          </w:p>
        </w:tc>
        <w:tc>
          <w:tcPr>
            <w:tcW w:w="1658" w:type="dxa"/>
          </w:tcPr>
          <w:p w14:paraId="0F3C9200" w14:textId="77777777" w:rsidR="00726A67" w:rsidRDefault="00726A67" w:rsidP="00726A67">
            <w:pPr>
              <w:jc w:val="center"/>
            </w:pPr>
            <w:r w:rsidRPr="00BE2B7C">
              <w:t>-3.</w:t>
            </w:r>
            <w:r>
              <w:t>648</w:t>
            </w:r>
          </w:p>
        </w:tc>
        <w:tc>
          <w:tcPr>
            <w:tcW w:w="1658" w:type="dxa"/>
          </w:tcPr>
          <w:p w14:paraId="21B9B0BD" w14:textId="77777777" w:rsidR="00726A67" w:rsidRDefault="00726A67" w:rsidP="00726A67">
            <w:pPr>
              <w:jc w:val="center"/>
            </w:pPr>
            <w:r>
              <w:t>-2.958</w:t>
            </w:r>
          </w:p>
        </w:tc>
        <w:tc>
          <w:tcPr>
            <w:tcW w:w="1658" w:type="dxa"/>
          </w:tcPr>
          <w:p w14:paraId="6BBE18FA" w14:textId="77777777" w:rsidR="00726A67" w:rsidRDefault="00726A67" w:rsidP="00726A67">
            <w:pPr>
              <w:jc w:val="center"/>
            </w:pPr>
            <w:r w:rsidRPr="00BE2B7C">
              <w:t>-2.6</w:t>
            </w:r>
            <w:r>
              <w:t>12</w:t>
            </w:r>
          </w:p>
        </w:tc>
      </w:tr>
    </w:tbl>
    <w:p w14:paraId="4DB5FC96" w14:textId="77777777" w:rsidR="00726A67" w:rsidRDefault="00726A67" w:rsidP="00726A67">
      <w:pPr>
        <w:jc w:val="center"/>
        <w:rPr>
          <w:rFonts w:eastAsiaTheme="minorHAnsi"/>
          <w:color w:val="000000" w:themeColor="text1"/>
          <w:szCs w:val="21"/>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659"/>
        <w:gridCol w:w="1658"/>
        <w:gridCol w:w="1658"/>
        <w:gridCol w:w="1658"/>
      </w:tblGrid>
      <w:tr w:rsidR="00726A67" w:rsidRPr="000E0BF1" w14:paraId="752821E8" w14:textId="77777777" w:rsidTr="00726A67">
        <w:tc>
          <w:tcPr>
            <w:tcW w:w="1855" w:type="dxa"/>
            <w:tcBorders>
              <w:bottom w:val="single" w:sz="12" w:space="0" w:color="7F7F7F" w:themeColor="text1" w:themeTint="80"/>
              <w:right w:val="single" w:sz="4" w:space="0" w:color="auto"/>
            </w:tcBorders>
          </w:tcPr>
          <w:p w14:paraId="59A7F084" w14:textId="77777777" w:rsidR="00726A67" w:rsidRPr="003043AD" w:rsidRDefault="00726A67" w:rsidP="00726A67">
            <w:pPr>
              <w:jc w:val="center"/>
              <w:rPr>
                <w:rFonts w:eastAsiaTheme="minorHAnsi"/>
                <w:color w:val="000000" w:themeColor="text1"/>
                <w:sz w:val="20"/>
                <w:szCs w:val="20"/>
              </w:rPr>
            </w:pPr>
            <w:r w:rsidRPr="003043AD">
              <w:rPr>
                <w:rFonts w:eastAsiaTheme="minorHAnsi"/>
                <w:color w:val="000000" w:themeColor="text1"/>
                <w:sz w:val="20"/>
                <w:szCs w:val="20"/>
              </w:rPr>
              <w:t>VAR2</w:t>
            </w:r>
          </w:p>
          <w:p w14:paraId="1AC2D29E" w14:textId="77777777" w:rsidR="00726A67" w:rsidRDefault="00726A67" w:rsidP="00726A67">
            <w:pPr>
              <w:jc w:val="center"/>
            </w:pPr>
            <w:r w:rsidRPr="003043AD">
              <w:rPr>
                <w:rFonts w:eastAsiaTheme="minorHAnsi"/>
                <w:color w:val="000000" w:themeColor="text1"/>
                <w:sz w:val="20"/>
                <w:szCs w:val="20"/>
              </w:rPr>
              <w:t>(</w:t>
            </w:r>
            <w:r w:rsidRPr="003043AD">
              <w:rPr>
                <w:rFonts w:eastAsiaTheme="minorHAnsi" w:hint="eastAsia"/>
                <w:color w:val="000000" w:themeColor="text1"/>
                <w:sz w:val="20"/>
                <w:szCs w:val="20"/>
              </w:rPr>
              <w:t>1974-1997</w:t>
            </w:r>
            <w:r w:rsidRPr="003043AD">
              <w:rPr>
                <w:rFonts w:eastAsiaTheme="minorHAnsi"/>
                <w:color w:val="000000" w:themeColor="text1"/>
                <w:sz w:val="20"/>
                <w:szCs w:val="20"/>
              </w:rPr>
              <w:t>)</w:t>
            </w:r>
          </w:p>
        </w:tc>
        <w:tc>
          <w:tcPr>
            <w:tcW w:w="1659" w:type="dxa"/>
            <w:tcBorders>
              <w:left w:val="single" w:sz="4" w:space="0" w:color="auto"/>
              <w:bottom w:val="single" w:sz="12" w:space="0" w:color="7F7F7F" w:themeColor="text1" w:themeTint="80"/>
            </w:tcBorders>
          </w:tcPr>
          <w:p w14:paraId="3F16C8FF" w14:textId="77777777" w:rsidR="00726A67" w:rsidRDefault="00726A67" w:rsidP="00726A67">
            <w:pPr>
              <w:jc w:val="center"/>
              <w:rPr>
                <w:lang w:eastAsia="zh-CN"/>
              </w:rPr>
            </w:pPr>
            <w:r w:rsidRPr="000E0BF1">
              <w:t>Test</w:t>
            </w:r>
            <w:r>
              <w:rPr>
                <w:rFonts w:hint="eastAsia"/>
                <w:lang w:eastAsia="zh-CN"/>
              </w:rPr>
              <w:t xml:space="preserve"> </w:t>
            </w:r>
            <w:r w:rsidRPr="000E0BF1">
              <w:rPr>
                <w:lang w:eastAsia="zh-CN"/>
              </w:rPr>
              <w:t>Statistic</w:t>
            </w:r>
          </w:p>
        </w:tc>
        <w:tc>
          <w:tcPr>
            <w:tcW w:w="1658" w:type="dxa"/>
            <w:tcBorders>
              <w:bottom w:val="single" w:sz="12" w:space="0" w:color="7F7F7F" w:themeColor="text1" w:themeTint="80"/>
            </w:tcBorders>
          </w:tcPr>
          <w:p w14:paraId="6829B10E" w14:textId="77777777" w:rsidR="00726A67" w:rsidRDefault="00726A67" w:rsidP="00726A67">
            <w:pPr>
              <w:jc w:val="center"/>
              <w:rPr>
                <w:lang w:eastAsia="zh-CN"/>
              </w:rPr>
            </w:pPr>
            <w:r w:rsidRPr="000E0BF1">
              <w:t xml:space="preserve">1% </w:t>
            </w:r>
            <w:bookmarkStart w:id="21" w:name="OLE_LINK157"/>
            <w:bookmarkStart w:id="22" w:name="OLE_LINK158"/>
            <w:r w:rsidRPr="000E0BF1">
              <w:t>Critical</w:t>
            </w:r>
            <w:r>
              <w:rPr>
                <w:rFonts w:hint="eastAsia"/>
                <w:lang w:eastAsia="zh-CN"/>
              </w:rPr>
              <w:t xml:space="preserve"> </w:t>
            </w:r>
            <w:r w:rsidRPr="000E0BF1">
              <w:rPr>
                <w:lang w:eastAsia="zh-CN"/>
              </w:rPr>
              <w:t>Value</w:t>
            </w:r>
            <w:bookmarkEnd w:id="21"/>
            <w:bookmarkEnd w:id="22"/>
          </w:p>
        </w:tc>
        <w:tc>
          <w:tcPr>
            <w:tcW w:w="1658" w:type="dxa"/>
            <w:tcBorders>
              <w:bottom w:val="single" w:sz="12" w:space="0" w:color="7F7F7F" w:themeColor="text1" w:themeTint="80"/>
            </w:tcBorders>
          </w:tcPr>
          <w:p w14:paraId="227A5ECC" w14:textId="77777777" w:rsidR="00726A67" w:rsidRDefault="00726A67" w:rsidP="00726A67">
            <w:pPr>
              <w:jc w:val="center"/>
            </w:pPr>
            <w:r w:rsidRPr="000E0BF1">
              <w:t>5% Critical</w:t>
            </w:r>
            <w:r>
              <w:rPr>
                <w:rFonts w:hint="eastAsia"/>
                <w:lang w:eastAsia="zh-CN"/>
              </w:rPr>
              <w:t xml:space="preserve"> </w:t>
            </w:r>
            <w:r w:rsidRPr="000E0BF1">
              <w:rPr>
                <w:lang w:eastAsia="zh-CN"/>
              </w:rPr>
              <w:t>Value</w:t>
            </w:r>
          </w:p>
        </w:tc>
        <w:tc>
          <w:tcPr>
            <w:tcW w:w="1658" w:type="dxa"/>
            <w:tcBorders>
              <w:bottom w:val="single" w:sz="12" w:space="0" w:color="7F7F7F" w:themeColor="text1" w:themeTint="80"/>
            </w:tcBorders>
          </w:tcPr>
          <w:p w14:paraId="4B93837D" w14:textId="77777777" w:rsidR="00726A67" w:rsidRPr="000E0BF1" w:rsidRDefault="00726A67" w:rsidP="00726A67">
            <w:pPr>
              <w:jc w:val="center"/>
            </w:pPr>
            <w:r w:rsidRPr="000E0BF1">
              <w:t>10% Critical</w:t>
            </w:r>
            <w:r>
              <w:rPr>
                <w:rFonts w:hint="eastAsia"/>
                <w:lang w:eastAsia="zh-CN"/>
              </w:rPr>
              <w:t xml:space="preserve"> </w:t>
            </w:r>
            <w:r w:rsidRPr="000E0BF1">
              <w:rPr>
                <w:lang w:eastAsia="zh-CN"/>
              </w:rPr>
              <w:t>Value</w:t>
            </w:r>
          </w:p>
        </w:tc>
      </w:tr>
      <w:tr w:rsidR="00726A67" w14:paraId="64C3C52E" w14:textId="77777777" w:rsidTr="00726A67">
        <w:tc>
          <w:tcPr>
            <w:tcW w:w="1855" w:type="dxa"/>
            <w:tcBorders>
              <w:top w:val="single" w:sz="12" w:space="0" w:color="7F7F7F" w:themeColor="text1" w:themeTint="80"/>
              <w:right w:val="single" w:sz="4" w:space="0" w:color="auto"/>
            </w:tcBorders>
          </w:tcPr>
          <w:p w14:paraId="1FA9B6C5" w14:textId="77777777" w:rsidR="00726A67" w:rsidRDefault="00726A67" w:rsidP="00726A67">
            <w:pPr>
              <w:jc w:val="center"/>
            </w:pPr>
            <w:r w:rsidRPr="00BE2B7C">
              <w:t>D1.lpgaso</w:t>
            </w:r>
          </w:p>
        </w:tc>
        <w:tc>
          <w:tcPr>
            <w:tcW w:w="1659" w:type="dxa"/>
            <w:tcBorders>
              <w:top w:val="single" w:sz="12" w:space="0" w:color="7F7F7F" w:themeColor="text1" w:themeTint="80"/>
              <w:left w:val="single" w:sz="4" w:space="0" w:color="auto"/>
            </w:tcBorders>
          </w:tcPr>
          <w:p w14:paraId="4CD57636" w14:textId="77777777" w:rsidR="00726A67" w:rsidRDefault="00726A67" w:rsidP="00726A67">
            <w:pPr>
              <w:jc w:val="center"/>
            </w:pPr>
            <w:r w:rsidRPr="00CF6059">
              <w:t>-3.538</w:t>
            </w:r>
          </w:p>
        </w:tc>
        <w:tc>
          <w:tcPr>
            <w:tcW w:w="1658" w:type="dxa"/>
            <w:tcBorders>
              <w:top w:val="single" w:sz="12" w:space="0" w:color="7F7F7F" w:themeColor="text1" w:themeTint="80"/>
            </w:tcBorders>
          </w:tcPr>
          <w:p w14:paraId="3424DCDF" w14:textId="77777777" w:rsidR="00726A67" w:rsidRDefault="00726A67" w:rsidP="00726A67">
            <w:pPr>
              <w:jc w:val="center"/>
            </w:pPr>
            <w:r w:rsidRPr="00BE2B7C">
              <w:t>-3.750</w:t>
            </w:r>
          </w:p>
        </w:tc>
        <w:tc>
          <w:tcPr>
            <w:tcW w:w="1658" w:type="dxa"/>
            <w:tcBorders>
              <w:top w:val="single" w:sz="12" w:space="0" w:color="7F7F7F" w:themeColor="text1" w:themeTint="80"/>
            </w:tcBorders>
          </w:tcPr>
          <w:p w14:paraId="053A1608" w14:textId="77777777" w:rsidR="00726A67" w:rsidRDefault="00726A67" w:rsidP="00726A67">
            <w:pPr>
              <w:jc w:val="center"/>
            </w:pPr>
            <w:r w:rsidRPr="00BE2B7C">
              <w:t>-3.000</w:t>
            </w:r>
          </w:p>
        </w:tc>
        <w:tc>
          <w:tcPr>
            <w:tcW w:w="1658" w:type="dxa"/>
            <w:tcBorders>
              <w:top w:val="single" w:sz="12" w:space="0" w:color="7F7F7F" w:themeColor="text1" w:themeTint="80"/>
            </w:tcBorders>
          </w:tcPr>
          <w:p w14:paraId="206BDB2B" w14:textId="77777777" w:rsidR="00726A67" w:rsidRDefault="00726A67" w:rsidP="00726A67">
            <w:pPr>
              <w:jc w:val="center"/>
            </w:pPr>
            <w:r w:rsidRPr="00BE2B7C">
              <w:t>-2.630</w:t>
            </w:r>
          </w:p>
        </w:tc>
      </w:tr>
      <w:tr w:rsidR="00726A67" w14:paraId="242E8A47" w14:textId="77777777" w:rsidTr="00726A67">
        <w:tc>
          <w:tcPr>
            <w:tcW w:w="1855" w:type="dxa"/>
            <w:tcBorders>
              <w:right w:val="single" w:sz="4" w:space="0" w:color="auto"/>
            </w:tcBorders>
          </w:tcPr>
          <w:p w14:paraId="45705744" w14:textId="77777777" w:rsidR="00726A67" w:rsidRDefault="00726A67" w:rsidP="00726A67">
            <w:pPr>
              <w:jc w:val="center"/>
            </w:pPr>
            <w:r w:rsidRPr="00BE2B7C">
              <w:t>D1.lqgaso</w:t>
            </w:r>
          </w:p>
        </w:tc>
        <w:tc>
          <w:tcPr>
            <w:tcW w:w="1659" w:type="dxa"/>
            <w:tcBorders>
              <w:left w:val="single" w:sz="4" w:space="0" w:color="auto"/>
            </w:tcBorders>
          </w:tcPr>
          <w:p w14:paraId="01D0B894" w14:textId="77777777" w:rsidR="00726A67" w:rsidRDefault="00726A67" w:rsidP="00726A67">
            <w:pPr>
              <w:jc w:val="center"/>
            </w:pPr>
            <w:r w:rsidRPr="00CF6059">
              <w:t>-3.115</w:t>
            </w:r>
          </w:p>
        </w:tc>
        <w:tc>
          <w:tcPr>
            <w:tcW w:w="1658" w:type="dxa"/>
          </w:tcPr>
          <w:p w14:paraId="3F45B652" w14:textId="77777777" w:rsidR="00726A67" w:rsidRDefault="00726A67" w:rsidP="00726A67">
            <w:pPr>
              <w:jc w:val="center"/>
            </w:pPr>
            <w:r w:rsidRPr="00BE2B7C">
              <w:t>-3.750</w:t>
            </w:r>
          </w:p>
        </w:tc>
        <w:tc>
          <w:tcPr>
            <w:tcW w:w="1658" w:type="dxa"/>
          </w:tcPr>
          <w:p w14:paraId="7070363D" w14:textId="77777777" w:rsidR="00726A67" w:rsidRDefault="00726A67" w:rsidP="00726A67">
            <w:pPr>
              <w:jc w:val="center"/>
            </w:pPr>
            <w:r w:rsidRPr="00555200">
              <w:t>-3.000</w:t>
            </w:r>
          </w:p>
        </w:tc>
        <w:tc>
          <w:tcPr>
            <w:tcW w:w="1658" w:type="dxa"/>
          </w:tcPr>
          <w:p w14:paraId="1BDDB9D3" w14:textId="77777777" w:rsidR="00726A67" w:rsidRDefault="00726A67" w:rsidP="00726A67">
            <w:pPr>
              <w:jc w:val="center"/>
            </w:pPr>
            <w:r w:rsidRPr="00555200">
              <w:t>-2.630</w:t>
            </w:r>
          </w:p>
        </w:tc>
      </w:tr>
      <w:tr w:rsidR="00726A67" w14:paraId="33B590F5" w14:textId="77777777" w:rsidTr="00726A67">
        <w:tc>
          <w:tcPr>
            <w:tcW w:w="1855" w:type="dxa"/>
            <w:tcBorders>
              <w:right w:val="single" w:sz="4" w:space="0" w:color="auto"/>
            </w:tcBorders>
          </w:tcPr>
          <w:p w14:paraId="287B893B" w14:textId="77777777" w:rsidR="00726A67" w:rsidRDefault="00726A67" w:rsidP="00726A67">
            <w:pPr>
              <w:jc w:val="center"/>
            </w:pPr>
            <w:r w:rsidRPr="00555200">
              <w:t>D1.</w:t>
            </w:r>
            <w:bookmarkStart w:id="23" w:name="OLE_LINK189"/>
            <w:bookmarkStart w:id="24" w:name="OLE_LINK192"/>
            <w:r w:rsidRPr="00555200">
              <w:t>lrealoilprice</w:t>
            </w:r>
            <w:bookmarkEnd w:id="23"/>
            <w:bookmarkEnd w:id="24"/>
          </w:p>
        </w:tc>
        <w:tc>
          <w:tcPr>
            <w:tcW w:w="1659" w:type="dxa"/>
            <w:tcBorders>
              <w:left w:val="single" w:sz="4" w:space="0" w:color="auto"/>
            </w:tcBorders>
          </w:tcPr>
          <w:p w14:paraId="264C6232" w14:textId="77777777" w:rsidR="00726A67" w:rsidRDefault="00726A67" w:rsidP="00726A67">
            <w:pPr>
              <w:jc w:val="center"/>
            </w:pPr>
            <w:r w:rsidRPr="00CF6059">
              <w:t>-3.976</w:t>
            </w:r>
          </w:p>
        </w:tc>
        <w:tc>
          <w:tcPr>
            <w:tcW w:w="1658" w:type="dxa"/>
          </w:tcPr>
          <w:p w14:paraId="5B5FCFC2" w14:textId="77777777" w:rsidR="00726A67" w:rsidRDefault="00726A67" w:rsidP="00726A67">
            <w:pPr>
              <w:jc w:val="center"/>
            </w:pPr>
            <w:r w:rsidRPr="00BE2B7C">
              <w:t>-3.750</w:t>
            </w:r>
          </w:p>
        </w:tc>
        <w:tc>
          <w:tcPr>
            <w:tcW w:w="1658" w:type="dxa"/>
          </w:tcPr>
          <w:p w14:paraId="05B23D24" w14:textId="77777777" w:rsidR="00726A67" w:rsidRDefault="00726A67" w:rsidP="00726A67">
            <w:pPr>
              <w:jc w:val="center"/>
            </w:pPr>
            <w:r w:rsidRPr="00555200">
              <w:t>-3.000</w:t>
            </w:r>
          </w:p>
        </w:tc>
        <w:tc>
          <w:tcPr>
            <w:tcW w:w="1658" w:type="dxa"/>
          </w:tcPr>
          <w:p w14:paraId="21E044A1" w14:textId="77777777" w:rsidR="00726A67" w:rsidRDefault="00726A67" w:rsidP="00726A67">
            <w:pPr>
              <w:jc w:val="center"/>
            </w:pPr>
            <w:r w:rsidRPr="00555200">
              <w:t>-2.630</w:t>
            </w:r>
          </w:p>
        </w:tc>
      </w:tr>
      <w:tr w:rsidR="00726A67" w14:paraId="601311E6" w14:textId="77777777" w:rsidTr="00726A67">
        <w:tc>
          <w:tcPr>
            <w:tcW w:w="1855" w:type="dxa"/>
            <w:tcBorders>
              <w:right w:val="single" w:sz="4" w:space="0" w:color="auto"/>
            </w:tcBorders>
          </w:tcPr>
          <w:p w14:paraId="5786D0E2" w14:textId="77777777" w:rsidR="00726A67" w:rsidRDefault="00726A67" w:rsidP="00726A67">
            <w:pPr>
              <w:jc w:val="center"/>
            </w:pPr>
            <w:r w:rsidRPr="00555200">
              <w:t>D1.lrealgdp</w:t>
            </w:r>
          </w:p>
        </w:tc>
        <w:tc>
          <w:tcPr>
            <w:tcW w:w="1659" w:type="dxa"/>
            <w:tcBorders>
              <w:left w:val="single" w:sz="4" w:space="0" w:color="auto"/>
            </w:tcBorders>
          </w:tcPr>
          <w:p w14:paraId="6A084BAF" w14:textId="77777777" w:rsidR="00726A67" w:rsidRDefault="00726A67" w:rsidP="00726A67">
            <w:pPr>
              <w:jc w:val="center"/>
            </w:pPr>
            <w:r w:rsidRPr="00CF6059">
              <w:t>-4.146</w:t>
            </w:r>
          </w:p>
        </w:tc>
        <w:tc>
          <w:tcPr>
            <w:tcW w:w="1658" w:type="dxa"/>
          </w:tcPr>
          <w:p w14:paraId="5B4C73C1" w14:textId="77777777" w:rsidR="00726A67" w:rsidRDefault="00726A67" w:rsidP="00726A67">
            <w:pPr>
              <w:jc w:val="center"/>
            </w:pPr>
            <w:r w:rsidRPr="00BE2B7C">
              <w:t>-3.750</w:t>
            </w:r>
          </w:p>
        </w:tc>
        <w:tc>
          <w:tcPr>
            <w:tcW w:w="1658" w:type="dxa"/>
          </w:tcPr>
          <w:p w14:paraId="1F01A4A2" w14:textId="77777777" w:rsidR="00726A67" w:rsidRDefault="00726A67" w:rsidP="00726A67">
            <w:pPr>
              <w:jc w:val="center"/>
            </w:pPr>
            <w:r w:rsidRPr="00555200">
              <w:t>-3.000</w:t>
            </w:r>
          </w:p>
        </w:tc>
        <w:tc>
          <w:tcPr>
            <w:tcW w:w="1658" w:type="dxa"/>
          </w:tcPr>
          <w:p w14:paraId="1D159573" w14:textId="77777777" w:rsidR="00726A67" w:rsidRDefault="00726A67" w:rsidP="00726A67">
            <w:pPr>
              <w:jc w:val="center"/>
            </w:pPr>
            <w:r w:rsidRPr="00555200">
              <w:t>-2.630</w:t>
            </w:r>
          </w:p>
        </w:tc>
      </w:tr>
    </w:tbl>
    <w:p w14:paraId="56A29C70" w14:textId="77777777" w:rsidR="00726A67" w:rsidRDefault="00726A67" w:rsidP="00726A67">
      <w:pPr>
        <w:pStyle w:val="af3"/>
        <w:jc w:val="center"/>
      </w:pPr>
      <w:r>
        <w:t xml:space="preserve">Table </w:t>
      </w:r>
      <w:fldSimple w:instr=" SEQ Table \* ARABIC ">
        <w:r>
          <w:rPr>
            <w:noProof/>
          </w:rPr>
          <w:t>4</w:t>
        </w:r>
      </w:fldSimple>
      <w:r>
        <w:rPr>
          <w:rFonts w:hint="eastAsia"/>
        </w:rPr>
        <w:t xml:space="preserve">　データセットのADF検定</w:t>
      </w:r>
    </w:p>
    <w:p w14:paraId="37586681" w14:textId="77777777" w:rsidR="00726A67" w:rsidRDefault="00726A67" w:rsidP="00726A67">
      <w:pPr>
        <w:rPr>
          <w:rFonts w:eastAsiaTheme="minorHAnsi"/>
          <w:b/>
          <w:color w:val="000000" w:themeColor="text1"/>
          <w:szCs w:val="21"/>
        </w:rPr>
      </w:pPr>
    </w:p>
    <w:p w14:paraId="55613954" w14:textId="77777777" w:rsidR="00726A67" w:rsidRPr="00BD00BE" w:rsidRDefault="00726A67" w:rsidP="00726A67">
      <w:pPr>
        <w:ind w:firstLineChars="100" w:firstLine="206"/>
        <w:rPr>
          <w:rFonts w:eastAsiaTheme="minorHAnsi"/>
          <w:b/>
          <w:color w:val="000000" w:themeColor="text1"/>
          <w:szCs w:val="21"/>
        </w:rPr>
      </w:pPr>
      <w:r w:rsidRPr="00BD00BE">
        <w:rPr>
          <w:rFonts w:eastAsiaTheme="minorHAnsi" w:hint="eastAsia"/>
          <w:b/>
          <w:color w:val="000000" w:themeColor="text1"/>
          <w:szCs w:val="21"/>
        </w:rPr>
        <w:t>VAR分析</w:t>
      </w:r>
    </w:p>
    <w:p w14:paraId="0DE13CE3" w14:textId="77777777" w:rsidR="00726A67" w:rsidRPr="003043AD" w:rsidRDefault="00726A67" w:rsidP="00726A67">
      <w:pPr>
        <w:ind w:firstLineChars="100" w:firstLine="210"/>
        <w:rPr>
          <w:rFonts w:eastAsiaTheme="minorHAnsi"/>
          <w:color w:val="000000" w:themeColor="text1"/>
          <w:szCs w:val="21"/>
        </w:rPr>
      </w:pPr>
      <w:r w:rsidRPr="00DD7002">
        <w:rPr>
          <w:rFonts w:eastAsiaTheme="minorHAnsi"/>
          <w:color w:val="000000" w:themeColor="text1"/>
          <w:szCs w:val="21"/>
        </w:rPr>
        <w:t>Table4</w:t>
      </w:r>
      <w:r w:rsidRPr="00DD7002">
        <w:rPr>
          <w:rFonts w:eastAsiaTheme="minorHAnsi" w:hint="eastAsia"/>
          <w:color w:val="000000" w:themeColor="text1"/>
          <w:szCs w:val="21"/>
        </w:rPr>
        <w:t>では</w:t>
      </w:r>
      <w:r w:rsidRPr="003043AD">
        <w:rPr>
          <w:rFonts w:eastAsiaTheme="minorHAnsi" w:hint="eastAsia"/>
          <w:color w:val="000000" w:themeColor="text1"/>
          <w:szCs w:val="21"/>
        </w:rPr>
        <w:t>、日本国内向けのガソリン販売数量（ここで自然対数を取った上、</w:t>
      </w:r>
      <w:r w:rsidRPr="003043AD">
        <w:rPr>
          <w:rFonts w:eastAsiaTheme="minorHAnsi"/>
          <w:color w:val="000000" w:themeColor="text1"/>
          <w:szCs w:val="21"/>
        </w:rPr>
        <w:t>短期の一過性の影響を除くため</w:t>
      </w:r>
      <w:r w:rsidRPr="003043AD">
        <w:rPr>
          <w:rFonts w:eastAsiaTheme="minorHAnsi" w:hint="eastAsia"/>
          <w:color w:val="000000" w:themeColor="text1"/>
          <w:szCs w:val="21"/>
        </w:rPr>
        <w:t>に、</w:t>
      </w:r>
      <w:r w:rsidRPr="003043AD">
        <w:rPr>
          <w:rFonts w:eastAsiaTheme="minorHAnsi"/>
          <w:color w:val="000000" w:themeColor="text1"/>
          <w:szCs w:val="21"/>
        </w:rPr>
        <w:t>1階階差</w:t>
      </w:r>
      <w:r w:rsidRPr="003043AD">
        <w:rPr>
          <w:rFonts w:eastAsiaTheme="minorHAnsi" w:hint="eastAsia"/>
          <w:color w:val="000000" w:themeColor="text1"/>
          <w:szCs w:val="21"/>
        </w:rPr>
        <w:t>でVAR分析を行うことにした</w:t>
      </w:r>
      <w:r w:rsidRPr="003043AD">
        <w:rPr>
          <w:rFonts w:eastAsiaTheme="minorHAnsi"/>
          <w:color w:val="000000" w:themeColor="text1"/>
          <w:szCs w:val="21"/>
        </w:rPr>
        <w:t>）に対し</w:t>
      </w:r>
      <w:r w:rsidRPr="003043AD">
        <w:rPr>
          <w:rFonts w:eastAsiaTheme="minorHAnsi" w:hint="eastAsia"/>
          <w:color w:val="000000" w:themeColor="text1"/>
          <w:szCs w:val="21"/>
        </w:rPr>
        <w:t>て、ガソリン平均価格は有意ではないものの、全体的に見れば、符号として</w:t>
      </w:r>
      <w:proofErr w:type="spellStart"/>
      <w:r w:rsidRPr="003043AD">
        <w:rPr>
          <w:rFonts w:eastAsiaTheme="minorHAnsi"/>
          <w:color w:val="000000" w:themeColor="text1"/>
          <w:szCs w:val="21"/>
        </w:rPr>
        <w:t>pgaso</w:t>
      </w:r>
      <w:proofErr w:type="spellEnd"/>
      <w:r w:rsidRPr="003043AD">
        <w:rPr>
          <w:rFonts w:eastAsiaTheme="minorHAnsi"/>
          <w:color w:val="000000" w:themeColor="text1"/>
          <w:szCs w:val="21"/>
        </w:rPr>
        <w:t>(</w:t>
      </w:r>
      <w:r w:rsidRPr="003043AD">
        <w:rPr>
          <w:rFonts w:eastAsiaTheme="minorHAnsi" w:hint="eastAsia"/>
          <w:color w:val="000000" w:themeColor="text1"/>
          <w:szCs w:val="21"/>
        </w:rPr>
        <w:t>L</w:t>
      </w:r>
      <w:r>
        <w:rPr>
          <w:rFonts w:eastAsiaTheme="minorHAnsi" w:hint="eastAsia"/>
          <w:color w:val="000000" w:themeColor="text1"/>
          <w:szCs w:val="21"/>
        </w:rPr>
        <w:t>Dと</w:t>
      </w:r>
      <w:r w:rsidRPr="003043AD">
        <w:rPr>
          <w:rFonts w:eastAsiaTheme="minorHAnsi" w:hint="eastAsia"/>
          <w:color w:val="000000" w:themeColor="text1"/>
          <w:szCs w:val="21"/>
        </w:rPr>
        <w:t>L２</w:t>
      </w:r>
      <w:r>
        <w:rPr>
          <w:rFonts w:eastAsiaTheme="minorHAnsi" w:hint="eastAsia"/>
          <w:color w:val="000000" w:themeColor="text1"/>
          <w:szCs w:val="21"/>
        </w:rPr>
        <w:t>D</w:t>
      </w:r>
      <w:r w:rsidRPr="003043AD">
        <w:rPr>
          <w:rFonts w:eastAsiaTheme="minorHAnsi"/>
          <w:color w:val="000000" w:themeColor="text1"/>
          <w:szCs w:val="21"/>
        </w:rPr>
        <w:t>)</w:t>
      </w:r>
      <w:r w:rsidRPr="003043AD">
        <w:rPr>
          <w:rFonts w:eastAsiaTheme="minorHAnsi" w:hint="eastAsia"/>
          <w:color w:val="000000" w:themeColor="text1"/>
          <w:szCs w:val="21"/>
        </w:rPr>
        <w:t>が</w:t>
      </w:r>
      <w:r>
        <w:rPr>
          <w:rFonts w:eastAsiaTheme="minorHAnsi" w:hint="eastAsia"/>
          <w:color w:val="000000" w:themeColor="text1"/>
          <w:szCs w:val="21"/>
        </w:rPr>
        <w:t>マイナスであ</w:t>
      </w:r>
      <w:r w:rsidRPr="003043AD">
        <w:rPr>
          <w:rFonts w:eastAsiaTheme="minorHAnsi" w:hint="eastAsia"/>
          <w:color w:val="000000" w:themeColor="text1"/>
          <w:szCs w:val="21"/>
        </w:rPr>
        <w:t>る</w:t>
      </w:r>
      <w:r w:rsidRPr="003043AD">
        <w:rPr>
          <w:rFonts w:eastAsiaTheme="minorHAnsi"/>
          <w:color w:val="000000" w:themeColor="text1"/>
          <w:szCs w:val="21"/>
        </w:rPr>
        <w:t>と示された。</w:t>
      </w:r>
      <w:r w:rsidRPr="003043AD">
        <w:rPr>
          <w:rFonts w:eastAsiaTheme="minorHAnsi" w:hint="eastAsia"/>
          <w:color w:val="000000" w:themeColor="text1"/>
          <w:szCs w:val="21"/>
        </w:rPr>
        <w:t>また、ダミー変数の部分においては、まず、</w:t>
      </w:r>
      <w:r w:rsidRPr="003043AD">
        <w:rPr>
          <w:rFonts w:eastAsiaTheme="minorHAnsi"/>
          <w:color w:val="000000" w:themeColor="text1"/>
          <w:szCs w:val="21"/>
        </w:rPr>
        <w:t>2009</w:t>
      </w:r>
      <w:r w:rsidRPr="003043AD">
        <w:rPr>
          <w:rFonts w:eastAsiaTheme="minorHAnsi" w:hint="eastAsia"/>
          <w:color w:val="000000" w:themeColor="text1"/>
          <w:szCs w:val="21"/>
        </w:rPr>
        <w:t>年から実施したエコカー減税政策ダミー</w:t>
      </w:r>
      <w:r>
        <w:rPr>
          <w:rFonts w:eastAsiaTheme="minorHAnsi" w:hint="eastAsia"/>
          <w:color w:val="000000" w:themeColor="text1"/>
          <w:szCs w:val="21"/>
        </w:rPr>
        <w:t>（</w:t>
      </w:r>
      <w:r>
        <w:rPr>
          <w:rFonts w:eastAsiaTheme="minorHAnsi"/>
          <w:color w:val="000000" w:themeColor="text1"/>
          <w:szCs w:val="21"/>
        </w:rPr>
        <w:t>policy</w:t>
      </w:r>
      <w:r>
        <w:rPr>
          <w:rFonts w:eastAsiaTheme="minorHAnsi" w:hint="eastAsia"/>
          <w:color w:val="000000" w:themeColor="text1"/>
          <w:szCs w:val="21"/>
        </w:rPr>
        <w:t>）</w:t>
      </w:r>
      <w:r w:rsidRPr="003043AD">
        <w:rPr>
          <w:rFonts w:eastAsiaTheme="minorHAnsi" w:hint="eastAsia"/>
          <w:color w:val="000000" w:themeColor="text1"/>
          <w:szCs w:val="21"/>
        </w:rPr>
        <w:t>について、VAR</w:t>
      </w:r>
      <w:r>
        <w:rPr>
          <w:rFonts w:eastAsiaTheme="minorHAnsi"/>
          <w:color w:val="000000" w:themeColor="text1"/>
          <w:szCs w:val="21"/>
        </w:rPr>
        <w:t>1</w:t>
      </w:r>
      <w:r>
        <w:rPr>
          <w:rFonts w:eastAsiaTheme="minorHAnsi" w:hint="eastAsia"/>
          <w:color w:val="000000" w:themeColor="text1"/>
          <w:szCs w:val="21"/>
        </w:rPr>
        <w:t>において有意ではなく、符号も</w:t>
      </w:r>
      <w:r w:rsidRPr="003043AD">
        <w:rPr>
          <w:rFonts w:eastAsiaTheme="minorHAnsi" w:hint="eastAsia"/>
          <w:color w:val="000000" w:themeColor="text1"/>
          <w:szCs w:val="21"/>
        </w:rPr>
        <w:t>プラスで、要するにエコカー減税政策が逆にガソリン需給に予想と相反する効果をもたらした可能性を考える必要性が示された。同時に、オイルショックやイラク戦争といった日本に大きな影響をあたえる海外の出来事を考慮するダミー変数において、いずれもガソリン需給にプラスな影響を与える可能性が示唆された。</w:t>
      </w:r>
      <w:r>
        <w:rPr>
          <w:rFonts w:eastAsiaTheme="minorHAnsi" w:hint="eastAsia"/>
          <w:color w:val="000000" w:themeColor="text1"/>
          <w:szCs w:val="21"/>
        </w:rPr>
        <w:t>しかし、実質原油価格の変数から見れば、原油価格が国内向けガソリン販売量と強い正の相関を持つことも示された。</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709"/>
        <w:gridCol w:w="1453"/>
        <w:gridCol w:w="927"/>
        <w:gridCol w:w="1275"/>
        <w:gridCol w:w="1309"/>
        <w:gridCol w:w="941"/>
        <w:gridCol w:w="937"/>
      </w:tblGrid>
      <w:tr w:rsidR="00726A67" w:rsidRPr="00B2735C" w14:paraId="0D5394DC" w14:textId="77777777" w:rsidTr="00726A67">
        <w:trPr>
          <w:trHeight w:val="368"/>
        </w:trPr>
        <w:tc>
          <w:tcPr>
            <w:tcW w:w="1662" w:type="dxa"/>
            <w:gridSpan w:val="2"/>
            <w:tcBorders>
              <w:top w:val="single" w:sz="4" w:space="0" w:color="auto"/>
              <w:left w:val="nil"/>
              <w:bottom w:val="single" w:sz="12" w:space="0" w:color="7F7F7F" w:themeColor="text1" w:themeTint="80"/>
              <w:right w:val="single" w:sz="2" w:space="0" w:color="auto"/>
            </w:tcBorders>
          </w:tcPr>
          <w:p w14:paraId="14E97D20" w14:textId="77777777" w:rsidR="00726A67" w:rsidRPr="00B2735C" w:rsidRDefault="00726A67" w:rsidP="00726A67">
            <w:pPr>
              <w:jc w:val="center"/>
              <w:rPr>
                <w:color w:val="FF0000"/>
                <w:szCs w:val="21"/>
              </w:rPr>
            </w:pPr>
            <w:bookmarkStart w:id="25" w:name="OLE_LINK259"/>
          </w:p>
        </w:tc>
        <w:tc>
          <w:tcPr>
            <w:tcW w:w="3655" w:type="dxa"/>
            <w:gridSpan w:val="3"/>
            <w:tcBorders>
              <w:top w:val="single" w:sz="4" w:space="0" w:color="auto"/>
              <w:left w:val="single" w:sz="2" w:space="0" w:color="auto"/>
              <w:bottom w:val="single" w:sz="12" w:space="0" w:color="7F7F7F" w:themeColor="text1" w:themeTint="80"/>
              <w:right w:val="nil"/>
            </w:tcBorders>
          </w:tcPr>
          <w:p w14:paraId="5C71F1FD" w14:textId="77777777" w:rsidR="00726A67" w:rsidRPr="001C134F" w:rsidRDefault="00726A67" w:rsidP="00726A67">
            <w:pPr>
              <w:jc w:val="center"/>
              <w:rPr>
                <w:color w:val="000000" w:themeColor="text1"/>
                <w:szCs w:val="21"/>
              </w:rPr>
            </w:pPr>
            <w:r w:rsidRPr="001C134F">
              <w:rPr>
                <w:color w:val="000000" w:themeColor="text1"/>
                <w:szCs w:val="21"/>
              </w:rPr>
              <w:t>VAR1</w:t>
            </w:r>
            <w:r w:rsidRPr="00596C3A">
              <w:rPr>
                <w:color w:val="000000" w:themeColor="text1"/>
                <w:sz w:val="20"/>
                <w:szCs w:val="20"/>
              </w:rPr>
              <w:t>（</w:t>
            </w:r>
            <w:r w:rsidRPr="00596C3A">
              <w:rPr>
                <w:rFonts w:hint="eastAsia"/>
                <w:color w:val="000000" w:themeColor="text1"/>
                <w:sz w:val="20"/>
                <w:szCs w:val="20"/>
              </w:rPr>
              <w:t>1974-2016</w:t>
            </w:r>
            <w:r w:rsidRPr="00596C3A">
              <w:rPr>
                <w:color w:val="000000" w:themeColor="text1"/>
                <w:sz w:val="20"/>
                <w:szCs w:val="20"/>
              </w:rPr>
              <w:t>）</w:t>
            </w:r>
          </w:p>
        </w:tc>
        <w:tc>
          <w:tcPr>
            <w:tcW w:w="3187" w:type="dxa"/>
            <w:gridSpan w:val="3"/>
            <w:tcBorders>
              <w:top w:val="single" w:sz="4" w:space="0" w:color="auto"/>
              <w:left w:val="nil"/>
              <w:bottom w:val="single" w:sz="12" w:space="0" w:color="7F7F7F" w:themeColor="text1" w:themeTint="80"/>
              <w:right w:val="nil"/>
            </w:tcBorders>
          </w:tcPr>
          <w:p w14:paraId="1A5D6E0C" w14:textId="77777777" w:rsidR="00726A67" w:rsidRPr="001C134F" w:rsidRDefault="00726A67" w:rsidP="00726A67">
            <w:pPr>
              <w:jc w:val="center"/>
              <w:rPr>
                <w:color w:val="000000" w:themeColor="text1"/>
                <w:szCs w:val="21"/>
              </w:rPr>
            </w:pPr>
            <w:r w:rsidRPr="001C134F">
              <w:rPr>
                <w:color w:val="000000" w:themeColor="text1"/>
                <w:szCs w:val="21"/>
              </w:rPr>
              <w:t>VAR2</w:t>
            </w:r>
            <w:r>
              <w:rPr>
                <w:rFonts w:hint="eastAsia"/>
                <w:color w:val="000000" w:themeColor="text1"/>
                <w:szCs w:val="21"/>
              </w:rPr>
              <w:t>（</w:t>
            </w:r>
            <w:r w:rsidRPr="00596C3A">
              <w:rPr>
                <w:rFonts w:hint="eastAsia"/>
                <w:color w:val="000000" w:themeColor="text1"/>
                <w:sz w:val="20"/>
                <w:szCs w:val="20"/>
              </w:rPr>
              <w:t>1974-1997</w:t>
            </w:r>
            <w:r>
              <w:rPr>
                <w:rFonts w:hint="eastAsia"/>
                <w:color w:val="000000" w:themeColor="text1"/>
                <w:sz w:val="20"/>
                <w:szCs w:val="20"/>
              </w:rPr>
              <w:t>）</w:t>
            </w:r>
          </w:p>
        </w:tc>
      </w:tr>
      <w:tr w:rsidR="00726A67" w:rsidRPr="00B2735C" w14:paraId="020CA050" w14:textId="77777777" w:rsidTr="00726A67">
        <w:trPr>
          <w:trHeight w:val="726"/>
        </w:trPr>
        <w:tc>
          <w:tcPr>
            <w:tcW w:w="1662" w:type="dxa"/>
            <w:gridSpan w:val="2"/>
            <w:tcBorders>
              <w:top w:val="single" w:sz="12" w:space="0" w:color="7F7F7F" w:themeColor="text1" w:themeTint="80"/>
              <w:left w:val="nil"/>
              <w:right w:val="single" w:sz="2" w:space="0" w:color="auto"/>
            </w:tcBorders>
          </w:tcPr>
          <w:p w14:paraId="5A826EDF" w14:textId="77777777" w:rsidR="00726A67" w:rsidRPr="00402CDC" w:rsidRDefault="00726A67" w:rsidP="00726A67">
            <w:pPr>
              <w:jc w:val="center"/>
              <w:rPr>
                <w:b/>
                <w:color w:val="FF0000"/>
                <w:szCs w:val="21"/>
              </w:rPr>
            </w:pPr>
            <w:proofErr w:type="spellStart"/>
            <w:r>
              <w:rPr>
                <w:rFonts w:hint="eastAsia"/>
                <w:b/>
                <w:color w:val="000000" w:themeColor="text1"/>
                <w:szCs w:val="21"/>
              </w:rPr>
              <w:lastRenderedPageBreak/>
              <w:t>D</w:t>
            </w:r>
            <w:r>
              <w:rPr>
                <w:b/>
                <w:color w:val="000000" w:themeColor="text1"/>
                <w:szCs w:val="21"/>
              </w:rPr>
              <w:t>_</w:t>
            </w:r>
            <w:r w:rsidRPr="00402CDC">
              <w:rPr>
                <w:b/>
                <w:color w:val="000000" w:themeColor="text1"/>
                <w:szCs w:val="21"/>
              </w:rPr>
              <w:t>qgaso</w:t>
            </w:r>
            <w:proofErr w:type="spellEnd"/>
          </w:p>
        </w:tc>
        <w:tc>
          <w:tcPr>
            <w:tcW w:w="1453" w:type="dxa"/>
            <w:tcBorders>
              <w:top w:val="single" w:sz="12" w:space="0" w:color="7F7F7F" w:themeColor="text1" w:themeTint="80"/>
              <w:left w:val="single" w:sz="2" w:space="0" w:color="auto"/>
            </w:tcBorders>
            <w:hideMark/>
          </w:tcPr>
          <w:p w14:paraId="58E44EA1" w14:textId="77777777" w:rsidR="00726A67" w:rsidRPr="001C134F" w:rsidRDefault="00726A67" w:rsidP="00726A67">
            <w:pPr>
              <w:jc w:val="center"/>
              <w:rPr>
                <w:color w:val="000000" w:themeColor="text1"/>
                <w:sz w:val="18"/>
                <w:szCs w:val="18"/>
              </w:rPr>
            </w:pPr>
            <w:r w:rsidRPr="001C134F">
              <w:rPr>
                <w:rFonts w:ascii="ＭＳ 明朝" w:hAnsi="ＭＳ 明朝" w:cs="ＭＳ 明朝"/>
                <w:color w:val="000000" w:themeColor="text1"/>
                <w:sz w:val="18"/>
                <w:szCs w:val="18"/>
              </w:rPr>
              <w:t>係</w:t>
            </w:r>
            <w:r w:rsidRPr="001C134F">
              <w:rPr>
                <w:rFonts w:hint="eastAsia"/>
                <w:color w:val="000000" w:themeColor="text1"/>
                <w:sz w:val="18"/>
                <w:szCs w:val="18"/>
              </w:rPr>
              <w:t>数</w:t>
            </w:r>
          </w:p>
          <w:p w14:paraId="49A96CBA" w14:textId="77777777" w:rsidR="00726A67" w:rsidRPr="001C134F" w:rsidRDefault="00726A67" w:rsidP="00726A67">
            <w:pPr>
              <w:jc w:val="center"/>
              <w:rPr>
                <w:color w:val="000000" w:themeColor="text1"/>
                <w:sz w:val="18"/>
                <w:szCs w:val="18"/>
              </w:rPr>
            </w:pPr>
            <w:r w:rsidRPr="001C134F">
              <w:rPr>
                <w:color w:val="000000" w:themeColor="text1"/>
                <w:sz w:val="18"/>
                <w:szCs w:val="18"/>
              </w:rPr>
              <w:t>(</w:t>
            </w:r>
            <w:r w:rsidRPr="001C134F">
              <w:rPr>
                <w:rFonts w:hint="eastAsia"/>
                <w:color w:val="000000" w:themeColor="text1"/>
                <w:sz w:val="18"/>
                <w:szCs w:val="18"/>
              </w:rPr>
              <w:t>標準誤差)</w:t>
            </w:r>
          </w:p>
        </w:tc>
        <w:tc>
          <w:tcPr>
            <w:tcW w:w="2202" w:type="dxa"/>
            <w:gridSpan w:val="2"/>
            <w:tcBorders>
              <w:top w:val="single" w:sz="12" w:space="0" w:color="7F7F7F" w:themeColor="text1" w:themeTint="80"/>
            </w:tcBorders>
            <w:hideMark/>
          </w:tcPr>
          <w:p w14:paraId="03BCE72D" w14:textId="77777777" w:rsidR="00726A67" w:rsidRPr="001C134F" w:rsidRDefault="00726A67" w:rsidP="00726A67">
            <w:pPr>
              <w:jc w:val="center"/>
              <w:rPr>
                <w:color w:val="000000" w:themeColor="text1"/>
                <w:sz w:val="18"/>
                <w:szCs w:val="18"/>
              </w:rPr>
            </w:pPr>
            <w:r w:rsidRPr="001C134F">
              <w:rPr>
                <w:color w:val="000000" w:themeColor="text1"/>
                <w:sz w:val="18"/>
                <w:szCs w:val="18"/>
              </w:rPr>
              <w:t>95%</w:t>
            </w:r>
          </w:p>
          <w:p w14:paraId="00FD6764" w14:textId="77777777" w:rsidR="00726A67" w:rsidRPr="001C134F" w:rsidRDefault="00726A67" w:rsidP="00726A67">
            <w:pPr>
              <w:jc w:val="center"/>
              <w:rPr>
                <w:color w:val="000000" w:themeColor="text1"/>
                <w:sz w:val="18"/>
                <w:szCs w:val="18"/>
              </w:rPr>
            </w:pPr>
            <w:r w:rsidRPr="001C134F">
              <w:rPr>
                <w:rFonts w:ascii="SimSun" w:eastAsia="SimSun" w:hAnsi="SimSun" w:cs="SimSun" w:hint="eastAsia"/>
                <w:color w:val="000000" w:themeColor="text1"/>
                <w:sz w:val="18"/>
                <w:szCs w:val="18"/>
              </w:rPr>
              <w:t>信頼区</w:t>
            </w:r>
            <w:r w:rsidRPr="001C134F">
              <w:rPr>
                <w:rFonts w:hint="eastAsia"/>
                <w:color w:val="000000" w:themeColor="text1"/>
                <w:sz w:val="18"/>
                <w:szCs w:val="18"/>
              </w:rPr>
              <w:t>間</w:t>
            </w:r>
          </w:p>
        </w:tc>
        <w:tc>
          <w:tcPr>
            <w:tcW w:w="1309" w:type="dxa"/>
            <w:tcBorders>
              <w:top w:val="single" w:sz="12" w:space="0" w:color="7F7F7F" w:themeColor="text1" w:themeTint="80"/>
            </w:tcBorders>
          </w:tcPr>
          <w:p w14:paraId="14742A18" w14:textId="77777777" w:rsidR="00726A67" w:rsidRPr="001C134F" w:rsidRDefault="00726A67" w:rsidP="00726A67">
            <w:pPr>
              <w:jc w:val="center"/>
              <w:rPr>
                <w:color w:val="000000" w:themeColor="text1"/>
                <w:sz w:val="18"/>
                <w:szCs w:val="18"/>
              </w:rPr>
            </w:pPr>
            <w:r w:rsidRPr="001C134F">
              <w:rPr>
                <w:rFonts w:ascii="ＭＳ 明朝" w:hAnsi="ＭＳ 明朝" w:cs="ＭＳ 明朝"/>
                <w:color w:val="000000" w:themeColor="text1"/>
                <w:sz w:val="18"/>
                <w:szCs w:val="18"/>
              </w:rPr>
              <w:t>係</w:t>
            </w:r>
            <w:r w:rsidRPr="001C134F">
              <w:rPr>
                <w:rFonts w:hint="eastAsia"/>
                <w:color w:val="000000" w:themeColor="text1"/>
                <w:sz w:val="18"/>
                <w:szCs w:val="18"/>
              </w:rPr>
              <w:t>数</w:t>
            </w:r>
          </w:p>
          <w:p w14:paraId="477F8820" w14:textId="77777777" w:rsidR="00726A67" w:rsidRPr="001C134F" w:rsidRDefault="00726A67" w:rsidP="00726A67">
            <w:pPr>
              <w:jc w:val="center"/>
              <w:rPr>
                <w:color w:val="000000" w:themeColor="text1"/>
                <w:sz w:val="18"/>
                <w:szCs w:val="18"/>
              </w:rPr>
            </w:pPr>
            <w:r w:rsidRPr="001C134F">
              <w:rPr>
                <w:color w:val="000000" w:themeColor="text1"/>
                <w:sz w:val="18"/>
                <w:szCs w:val="18"/>
              </w:rPr>
              <w:t>(</w:t>
            </w:r>
            <w:r w:rsidRPr="001C134F">
              <w:rPr>
                <w:rFonts w:hint="eastAsia"/>
                <w:color w:val="000000" w:themeColor="text1"/>
                <w:sz w:val="18"/>
                <w:szCs w:val="18"/>
              </w:rPr>
              <w:t>標準誤差)</w:t>
            </w:r>
          </w:p>
        </w:tc>
        <w:tc>
          <w:tcPr>
            <w:tcW w:w="1878" w:type="dxa"/>
            <w:gridSpan w:val="2"/>
            <w:tcBorders>
              <w:top w:val="single" w:sz="12" w:space="0" w:color="7F7F7F" w:themeColor="text1" w:themeTint="80"/>
              <w:right w:val="nil"/>
            </w:tcBorders>
          </w:tcPr>
          <w:p w14:paraId="02961BD1" w14:textId="77777777" w:rsidR="00726A67" w:rsidRPr="001C134F" w:rsidRDefault="00726A67" w:rsidP="00726A67">
            <w:pPr>
              <w:jc w:val="center"/>
              <w:rPr>
                <w:color w:val="000000" w:themeColor="text1"/>
                <w:sz w:val="18"/>
                <w:szCs w:val="18"/>
              </w:rPr>
            </w:pPr>
            <w:r w:rsidRPr="001C134F">
              <w:rPr>
                <w:color w:val="000000" w:themeColor="text1"/>
                <w:sz w:val="18"/>
                <w:szCs w:val="18"/>
              </w:rPr>
              <w:t>95%</w:t>
            </w:r>
          </w:p>
          <w:p w14:paraId="53B5D72C" w14:textId="77777777" w:rsidR="00726A67" w:rsidRPr="001C134F" w:rsidRDefault="00726A67" w:rsidP="00726A67">
            <w:pPr>
              <w:jc w:val="center"/>
              <w:rPr>
                <w:color w:val="000000" w:themeColor="text1"/>
                <w:sz w:val="18"/>
                <w:szCs w:val="18"/>
              </w:rPr>
            </w:pPr>
            <w:r w:rsidRPr="001C134F">
              <w:rPr>
                <w:rFonts w:ascii="SimSun" w:eastAsia="SimSun" w:hAnsi="SimSun" w:cs="SimSun" w:hint="eastAsia"/>
                <w:color w:val="000000" w:themeColor="text1"/>
                <w:sz w:val="18"/>
                <w:szCs w:val="18"/>
              </w:rPr>
              <w:t>信頼区</w:t>
            </w:r>
            <w:r w:rsidRPr="001C134F">
              <w:rPr>
                <w:rFonts w:hint="eastAsia"/>
                <w:color w:val="000000" w:themeColor="text1"/>
                <w:sz w:val="18"/>
                <w:szCs w:val="18"/>
              </w:rPr>
              <w:t>間</w:t>
            </w:r>
          </w:p>
        </w:tc>
      </w:tr>
      <w:tr w:rsidR="00726A67" w:rsidRPr="00B2735C" w14:paraId="7F4B6585" w14:textId="77777777" w:rsidTr="00726A67">
        <w:trPr>
          <w:trHeight w:val="251"/>
        </w:trPr>
        <w:tc>
          <w:tcPr>
            <w:tcW w:w="953" w:type="dxa"/>
            <w:vMerge w:val="restart"/>
            <w:tcBorders>
              <w:left w:val="nil"/>
              <w:right w:val="nil"/>
            </w:tcBorders>
            <w:hideMark/>
          </w:tcPr>
          <w:p w14:paraId="396EC1B4" w14:textId="77777777" w:rsidR="00726A67" w:rsidRPr="00907B00" w:rsidRDefault="00726A67" w:rsidP="00726A67">
            <w:pPr>
              <w:jc w:val="center"/>
              <w:rPr>
                <w:color w:val="FF0000"/>
                <w:szCs w:val="21"/>
              </w:rPr>
            </w:pPr>
            <w:proofErr w:type="spellStart"/>
            <w:r>
              <w:rPr>
                <w:rFonts w:ascii="ＭＳ 明朝" w:eastAsia="ＭＳ 明朝" w:hAnsi="ＭＳ 明朝"/>
                <w:b/>
                <w:bCs/>
                <w:color w:val="000000" w:themeColor="text1"/>
                <w:sz w:val="18"/>
                <w:szCs w:val="18"/>
                <w:shd w:val="clear" w:color="auto" w:fill="FFFFFF"/>
              </w:rPr>
              <w:t>q</w:t>
            </w:r>
            <w:r w:rsidRPr="00907B00">
              <w:rPr>
                <w:rFonts w:ascii="ＭＳ 明朝" w:eastAsia="ＭＳ 明朝" w:hAnsi="ＭＳ 明朝" w:hint="eastAsia"/>
                <w:b/>
                <w:bCs/>
                <w:color w:val="000000" w:themeColor="text1"/>
                <w:sz w:val="18"/>
                <w:szCs w:val="18"/>
                <w:shd w:val="clear" w:color="auto" w:fill="FFFFFF"/>
              </w:rPr>
              <w:t>gaso</w:t>
            </w:r>
            <w:proofErr w:type="spellEnd"/>
          </w:p>
        </w:tc>
        <w:tc>
          <w:tcPr>
            <w:tcW w:w="709" w:type="dxa"/>
            <w:tcBorders>
              <w:left w:val="nil"/>
              <w:right w:val="single" w:sz="4" w:space="0" w:color="auto"/>
            </w:tcBorders>
          </w:tcPr>
          <w:p w14:paraId="6909E969" w14:textId="77777777" w:rsidR="00726A67" w:rsidRPr="00907B00" w:rsidRDefault="00726A67" w:rsidP="00726A67">
            <w:pPr>
              <w:jc w:val="center"/>
              <w:rPr>
                <w:color w:val="FF0000"/>
                <w:szCs w:val="21"/>
              </w:rPr>
            </w:pPr>
            <w:r>
              <w:rPr>
                <w:rFonts w:ascii="ＭＳ 明朝" w:eastAsia="ＭＳ 明朝" w:hAnsi="ＭＳ 明朝"/>
                <w:b/>
                <w:bCs/>
                <w:color w:val="000000" w:themeColor="text1"/>
                <w:sz w:val="18"/>
                <w:szCs w:val="18"/>
                <w:shd w:val="clear" w:color="auto" w:fill="FFFFFF"/>
              </w:rPr>
              <w:t>LD</w:t>
            </w:r>
          </w:p>
        </w:tc>
        <w:tc>
          <w:tcPr>
            <w:tcW w:w="1453" w:type="dxa"/>
            <w:tcBorders>
              <w:left w:val="single" w:sz="4" w:space="0" w:color="auto"/>
              <w:right w:val="nil"/>
            </w:tcBorders>
            <w:hideMark/>
          </w:tcPr>
          <w:p w14:paraId="3C4C5BE1" w14:textId="77777777" w:rsidR="00726A67" w:rsidRDefault="00726A67" w:rsidP="00726A67">
            <w:pPr>
              <w:spacing w:line="0" w:lineRule="atLeast"/>
              <w:jc w:val="center"/>
              <w:rPr>
                <w:color w:val="000000" w:themeColor="text1"/>
                <w:szCs w:val="21"/>
              </w:rPr>
            </w:pPr>
            <w:r>
              <w:rPr>
                <w:color w:val="000000" w:themeColor="text1"/>
                <w:szCs w:val="21"/>
              </w:rPr>
              <w:t>-0.0297</w:t>
            </w:r>
          </w:p>
          <w:p w14:paraId="586D8E72" w14:textId="77777777" w:rsidR="00726A67" w:rsidRPr="001D386D" w:rsidRDefault="00726A67" w:rsidP="00726A67">
            <w:pPr>
              <w:spacing w:line="0" w:lineRule="atLeast"/>
              <w:jc w:val="center"/>
              <w:rPr>
                <w:color w:val="000000" w:themeColor="text1"/>
                <w:szCs w:val="21"/>
              </w:rPr>
            </w:pPr>
            <w:r>
              <w:rPr>
                <w:color w:val="000000" w:themeColor="text1"/>
                <w:szCs w:val="21"/>
              </w:rPr>
              <w:t>(0.1309)</w:t>
            </w:r>
          </w:p>
        </w:tc>
        <w:tc>
          <w:tcPr>
            <w:tcW w:w="927" w:type="dxa"/>
            <w:tcBorders>
              <w:left w:val="nil"/>
              <w:right w:val="nil"/>
            </w:tcBorders>
            <w:hideMark/>
          </w:tcPr>
          <w:p w14:paraId="7DFE7EBB" w14:textId="77777777" w:rsidR="00726A67" w:rsidRPr="001D386D" w:rsidRDefault="00726A67" w:rsidP="00726A67">
            <w:pPr>
              <w:jc w:val="center"/>
              <w:rPr>
                <w:color w:val="000000" w:themeColor="text1"/>
                <w:szCs w:val="21"/>
              </w:rPr>
            </w:pPr>
            <w:r>
              <w:rPr>
                <w:color w:val="000000" w:themeColor="text1"/>
                <w:szCs w:val="21"/>
              </w:rPr>
              <w:t>-0.2864</w:t>
            </w:r>
          </w:p>
        </w:tc>
        <w:tc>
          <w:tcPr>
            <w:tcW w:w="1275" w:type="dxa"/>
            <w:tcBorders>
              <w:left w:val="nil"/>
              <w:right w:val="nil"/>
            </w:tcBorders>
            <w:hideMark/>
          </w:tcPr>
          <w:p w14:paraId="2750CB8A" w14:textId="77777777" w:rsidR="00726A67" w:rsidRPr="001D386D" w:rsidRDefault="00726A67" w:rsidP="00726A67">
            <w:pPr>
              <w:jc w:val="center"/>
              <w:rPr>
                <w:color w:val="000000" w:themeColor="text1"/>
                <w:szCs w:val="21"/>
              </w:rPr>
            </w:pPr>
            <w:r>
              <w:rPr>
                <w:color w:val="000000" w:themeColor="text1"/>
                <w:szCs w:val="21"/>
              </w:rPr>
              <w:t>0.2269</w:t>
            </w:r>
          </w:p>
        </w:tc>
        <w:tc>
          <w:tcPr>
            <w:tcW w:w="1309" w:type="dxa"/>
            <w:tcBorders>
              <w:left w:val="nil"/>
              <w:right w:val="nil"/>
            </w:tcBorders>
          </w:tcPr>
          <w:p w14:paraId="619D2D7F" w14:textId="77777777" w:rsidR="00726A67" w:rsidRDefault="00726A67" w:rsidP="00726A67">
            <w:pPr>
              <w:spacing w:line="0" w:lineRule="atLeast"/>
              <w:jc w:val="center"/>
              <w:rPr>
                <w:color w:val="000000" w:themeColor="text1"/>
                <w:szCs w:val="21"/>
              </w:rPr>
            </w:pPr>
            <w:r>
              <w:rPr>
                <w:color w:val="000000" w:themeColor="text1"/>
                <w:szCs w:val="21"/>
              </w:rPr>
              <w:t>0.0462</w:t>
            </w:r>
          </w:p>
          <w:p w14:paraId="65E73C19" w14:textId="77777777" w:rsidR="00726A67" w:rsidRPr="001D386D" w:rsidRDefault="00726A67" w:rsidP="00726A67">
            <w:pPr>
              <w:spacing w:line="0" w:lineRule="atLeast"/>
              <w:jc w:val="center"/>
              <w:rPr>
                <w:color w:val="000000" w:themeColor="text1"/>
                <w:szCs w:val="21"/>
              </w:rPr>
            </w:pPr>
            <w:r>
              <w:rPr>
                <w:color w:val="000000" w:themeColor="text1"/>
                <w:szCs w:val="21"/>
              </w:rPr>
              <w:t>(0.1813)</w:t>
            </w:r>
          </w:p>
        </w:tc>
        <w:tc>
          <w:tcPr>
            <w:tcW w:w="941" w:type="dxa"/>
            <w:tcBorders>
              <w:left w:val="nil"/>
              <w:right w:val="nil"/>
            </w:tcBorders>
          </w:tcPr>
          <w:p w14:paraId="72F9788D" w14:textId="77777777" w:rsidR="00726A67" w:rsidRPr="001D386D" w:rsidRDefault="00726A67" w:rsidP="00726A67">
            <w:pPr>
              <w:spacing w:line="0" w:lineRule="atLeast"/>
              <w:jc w:val="center"/>
              <w:rPr>
                <w:color w:val="000000" w:themeColor="text1"/>
                <w:szCs w:val="21"/>
              </w:rPr>
            </w:pPr>
            <w:r>
              <w:rPr>
                <w:color w:val="000000" w:themeColor="text1"/>
                <w:szCs w:val="21"/>
              </w:rPr>
              <w:t>-0.3092</w:t>
            </w:r>
          </w:p>
        </w:tc>
        <w:tc>
          <w:tcPr>
            <w:tcW w:w="937" w:type="dxa"/>
            <w:tcBorders>
              <w:left w:val="nil"/>
              <w:right w:val="nil"/>
            </w:tcBorders>
          </w:tcPr>
          <w:p w14:paraId="6792A185" w14:textId="77777777" w:rsidR="00726A67" w:rsidRPr="001D386D" w:rsidRDefault="00726A67" w:rsidP="00726A67">
            <w:pPr>
              <w:spacing w:line="0" w:lineRule="atLeast"/>
              <w:jc w:val="center"/>
              <w:rPr>
                <w:color w:val="000000" w:themeColor="text1"/>
                <w:szCs w:val="21"/>
              </w:rPr>
            </w:pPr>
            <w:r>
              <w:rPr>
                <w:color w:val="000000" w:themeColor="text1"/>
                <w:szCs w:val="21"/>
              </w:rPr>
              <w:t>0.4016</w:t>
            </w:r>
          </w:p>
        </w:tc>
      </w:tr>
      <w:tr w:rsidR="00726A67" w:rsidRPr="00B2735C" w14:paraId="4A981C24" w14:textId="77777777" w:rsidTr="00726A67">
        <w:trPr>
          <w:trHeight w:val="549"/>
        </w:trPr>
        <w:tc>
          <w:tcPr>
            <w:tcW w:w="953" w:type="dxa"/>
            <w:vMerge/>
            <w:tcBorders>
              <w:left w:val="nil"/>
              <w:right w:val="nil"/>
            </w:tcBorders>
          </w:tcPr>
          <w:p w14:paraId="0A82A957" w14:textId="77777777" w:rsidR="00726A67" w:rsidRPr="00907B00" w:rsidRDefault="00726A67" w:rsidP="00726A67">
            <w:pPr>
              <w:jc w:val="center"/>
              <w:rPr>
                <w:rFonts w:ascii="ＭＳ 明朝" w:eastAsia="ＭＳ 明朝" w:hAnsi="ＭＳ 明朝"/>
                <w:b/>
                <w:bCs/>
                <w:color w:val="000000" w:themeColor="text1"/>
                <w:sz w:val="18"/>
                <w:szCs w:val="18"/>
                <w:shd w:val="clear" w:color="auto" w:fill="FFFFFF"/>
              </w:rPr>
            </w:pPr>
          </w:p>
        </w:tc>
        <w:tc>
          <w:tcPr>
            <w:tcW w:w="709" w:type="dxa"/>
            <w:tcBorders>
              <w:left w:val="nil"/>
              <w:bottom w:val="nil"/>
              <w:right w:val="single" w:sz="4" w:space="0" w:color="auto"/>
            </w:tcBorders>
          </w:tcPr>
          <w:p w14:paraId="51A71232" w14:textId="77777777" w:rsidR="00726A67" w:rsidRPr="00907B00" w:rsidRDefault="00726A67" w:rsidP="00726A67">
            <w:pPr>
              <w:jc w:val="center"/>
              <w:rPr>
                <w:rFonts w:ascii="ＭＳ 明朝" w:eastAsia="ＭＳ 明朝" w:hAnsi="ＭＳ 明朝"/>
                <w:b/>
                <w:bCs/>
                <w:color w:val="000000" w:themeColor="text1"/>
                <w:sz w:val="18"/>
                <w:szCs w:val="18"/>
                <w:shd w:val="clear" w:color="auto" w:fill="FFFFFF"/>
              </w:rPr>
            </w:pPr>
            <w:r w:rsidRPr="00907B00">
              <w:rPr>
                <w:rFonts w:ascii="ＭＳ 明朝" w:eastAsia="ＭＳ 明朝" w:hAnsi="ＭＳ 明朝"/>
                <w:b/>
                <w:bCs/>
                <w:color w:val="000000" w:themeColor="text1"/>
                <w:sz w:val="18"/>
                <w:szCs w:val="18"/>
                <w:shd w:val="clear" w:color="auto" w:fill="FFFFFF"/>
              </w:rPr>
              <w:t>L2</w:t>
            </w:r>
            <w:r>
              <w:rPr>
                <w:rFonts w:ascii="ＭＳ 明朝" w:eastAsia="ＭＳ 明朝" w:hAnsi="ＭＳ 明朝"/>
                <w:b/>
                <w:bCs/>
                <w:color w:val="000000" w:themeColor="text1"/>
                <w:sz w:val="18"/>
                <w:szCs w:val="18"/>
                <w:shd w:val="clear" w:color="auto" w:fill="FFFFFF"/>
              </w:rPr>
              <w:t>D</w:t>
            </w:r>
          </w:p>
        </w:tc>
        <w:tc>
          <w:tcPr>
            <w:tcW w:w="1453" w:type="dxa"/>
            <w:tcBorders>
              <w:left w:val="single" w:sz="4" w:space="0" w:color="auto"/>
              <w:bottom w:val="nil"/>
              <w:right w:val="nil"/>
            </w:tcBorders>
          </w:tcPr>
          <w:p w14:paraId="1171ECB9" w14:textId="77777777" w:rsidR="00726A67" w:rsidRDefault="00726A67" w:rsidP="00726A67">
            <w:pPr>
              <w:spacing w:line="0" w:lineRule="atLeast"/>
              <w:jc w:val="center"/>
              <w:rPr>
                <w:color w:val="000000" w:themeColor="text1"/>
                <w:szCs w:val="21"/>
              </w:rPr>
            </w:pPr>
            <w:r>
              <w:rPr>
                <w:color w:val="000000" w:themeColor="text1"/>
                <w:szCs w:val="21"/>
              </w:rPr>
              <w:t>0.3220</w:t>
            </w:r>
          </w:p>
          <w:p w14:paraId="5A931F8A" w14:textId="77777777" w:rsidR="00726A67" w:rsidRPr="001D386D" w:rsidRDefault="00726A67" w:rsidP="00726A67">
            <w:pPr>
              <w:spacing w:line="0" w:lineRule="atLeast"/>
              <w:jc w:val="center"/>
              <w:rPr>
                <w:color w:val="000000" w:themeColor="text1"/>
                <w:szCs w:val="21"/>
              </w:rPr>
            </w:pPr>
            <w:r>
              <w:rPr>
                <w:color w:val="000000" w:themeColor="text1"/>
                <w:szCs w:val="21"/>
              </w:rPr>
              <w:t>(0.1370)**</w:t>
            </w:r>
          </w:p>
        </w:tc>
        <w:tc>
          <w:tcPr>
            <w:tcW w:w="927" w:type="dxa"/>
            <w:tcBorders>
              <w:left w:val="nil"/>
              <w:bottom w:val="nil"/>
              <w:right w:val="nil"/>
            </w:tcBorders>
          </w:tcPr>
          <w:p w14:paraId="592DE306" w14:textId="77777777" w:rsidR="00726A67" w:rsidRPr="001D386D" w:rsidRDefault="00726A67" w:rsidP="00726A67">
            <w:pPr>
              <w:jc w:val="center"/>
              <w:rPr>
                <w:color w:val="000000" w:themeColor="text1"/>
                <w:szCs w:val="21"/>
              </w:rPr>
            </w:pPr>
            <w:r>
              <w:rPr>
                <w:color w:val="000000" w:themeColor="text1"/>
                <w:szCs w:val="21"/>
              </w:rPr>
              <w:t>0.0535</w:t>
            </w:r>
          </w:p>
        </w:tc>
        <w:tc>
          <w:tcPr>
            <w:tcW w:w="1275" w:type="dxa"/>
            <w:tcBorders>
              <w:left w:val="nil"/>
              <w:bottom w:val="nil"/>
              <w:right w:val="nil"/>
            </w:tcBorders>
          </w:tcPr>
          <w:p w14:paraId="506B3A9D" w14:textId="77777777" w:rsidR="00726A67" w:rsidRPr="001D386D" w:rsidRDefault="00726A67" w:rsidP="00726A67">
            <w:pPr>
              <w:jc w:val="center"/>
              <w:rPr>
                <w:color w:val="000000" w:themeColor="text1"/>
                <w:szCs w:val="21"/>
              </w:rPr>
            </w:pPr>
            <w:r>
              <w:rPr>
                <w:color w:val="000000" w:themeColor="text1"/>
                <w:szCs w:val="21"/>
              </w:rPr>
              <w:t>0.5906</w:t>
            </w:r>
          </w:p>
        </w:tc>
        <w:tc>
          <w:tcPr>
            <w:tcW w:w="1309" w:type="dxa"/>
            <w:tcBorders>
              <w:left w:val="nil"/>
              <w:bottom w:val="nil"/>
              <w:right w:val="nil"/>
            </w:tcBorders>
          </w:tcPr>
          <w:p w14:paraId="3CB48648" w14:textId="77777777" w:rsidR="00726A67" w:rsidRDefault="00726A67" w:rsidP="00726A67">
            <w:pPr>
              <w:spacing w:line="0" w:lineRule="atLeast"/>
              <w:jc w:val="center"/>
              <w:rPr>
                <w:color w:val="000000" w:themeColor="text1"/>
                <w:szCs w:val="21"/>
              </w:rPr>
            </w:pPr>
            <w:r>
              <w:rPr>
                <w:color w:val="000000" w:themeColor="text1"/>
                <w:szCs w:val="21"/>
              </w:rPr>
              <w:t>0.4158</w:t>
            </w:r>
          </w:p>
          <w:p w14:paraId="74904B8C" w14:textId="77777777" w:rsidR="00726A67" w:rsidRPr="001D386D" w:rsidRDefault="00726A67" w:rsidP="00726A67">
            <w:pPr>
              <w:spacing w:line="0" w:lineRule="atLeast"/>
              <w:jc w:val="center"/>
              <w:rPr>
                <w:color w:val="000000" w:themeColor="text1"/>
                <w:szCs w:val="21"/>
              </w:rPr>
            </w:pPr>
            <w:r>
              <w:rPr>
                <w:color w:val="000000" w:themeColor="text1"/>
                <w:szCs w:val="21"/>
              </w:rPr>
              <w:t>(0.1881)**</w:t>
            </w:r>
          </w:p>
        </w:tc>
        <w:tc>
          <w:tcPr>
            <w:tcW w:w="941" w:type="dxa"/>
            <w:tcBorders>
              <w:left w:val="nil"/>
              <w:bottom w:val="nil"/>
              <w:right w:val="nil"/>
            </w:tcBorders>
          </w:tcPr>
          <w:p w14:paraId="5EAF406E" w14:textId="77777777" w:rsidR="00726A67" w:rsidRPr="001D386D" w:rsidRDefault="00726A67" w:rsidP="00726A67">
            <w:pPr>
              <w:spacing w:line="0" w:lineRule="atLeast"/>
              <w:jc w:val="center"/>
              <w:rPr>
                <w:color w:val="000000" w:themeColor="text1"/>
                <w:szCs w:val="21"/>
              </w:rPr>
            </w:pPr>
            <w:r>
              <w:rPr>
                <w:color w:val="000000" w:themeColor="text1"/>
                <w:szCs w:val="21"/>
              </w:rPr>
              <w:t>0.0471</w:t>
            </w:r>
          </w:p>
        </w:tc>
        <w:tc>
          <w:tcPr>
            <w:tcW w:w="937" w:type="dxa"/>
            <w:tcBorders>
              <w:left w:val="nil"/>
              <w:bottom w:val="nil"/>
              <w:right w:val="nil"/>
            </w:tcBorders>
          </w:tcPr>
          <w:p w14:paraId="04479E7F" w14:textId="77777777" w:rsidR="00726A67" w:rsidRPr="001D386D" w:rsidRDefault="00726A67" w:rsidP="00726A67">
            <w:pPr>
              <w:spacing w:line="0" w:lineRule="atLeast"/>
              <w:jc w:val="center"/>
              <w:rPr>
                <w:color w:val="000000" w:themeColor="text1"/>
                <w:szCs w:val="21"/>
              </w:rPr>
            </w:pPr>
            <w:r>
              <w:rPr>
                <w:color w:val="000000" w:themeColor="text1"/>
                <w:szCs w:val="21"/>
              </w:rPr>
              <w:t>0.7845</w:t>
            </w:r>
          </w:p>
        </w:tc>
      </w:tr>
      <w:tr w:rsidR="00726A67" w:rsidRPr="00B2735C" w14:paraId="3B310C91" w14:textId="77777777" w:rsidTr="00726A67">
        <w:trPr>
          <w:trHeight w:val="422"/>
        </w:trPr>
        <w:tc>
          <w:tcPr>
            <w:tcW w:w="953" w:type="dxa"/>
            <w:vMerge w:val="restart"/>
            <w:hideMark/>
          </w:tcPr>
          <w:p w14:paraId="487C7F26" w14:textId="77777777" w:rsidR="00726A67" w:rsidRPr="00A51655" w:rsidRDefault="00726A67" w:rsidP="00726A67">
            <w:pPr>
              <w:jc w:val="center"/>
              <w:rPr>
                <w:color w:val="FF0000"/>
                <w:sz w:val="18"/>
                <w:szCs w:val="18"/>
                <w:lang w:eastAsia="zh-CN"/>
              </w:rPr>
            </w:pPr>
            <w:proofErr w:type="spellStart"/>
            <w:r w:rsidRPr="00A51655">
              <w:rPr>
                <w:color w:val="000000" w:themeColor="text1"/>
                <w:sz w:val="18"/>
                <w:szCs w:val="18"/>
                <w:lang w:eastAsia="zh-CN"/>
              </w:rPr>
              <w:t>pgaso</w:t>
            </w:r>
            <w:proofErr w:type="spellEnd"/>
          </w:p>
        </w:tc>
        <w:tc>
          <w:tcPr>
            <w:tcW w:w="709" w:type="dxa"/>
            <w:tcBorders>
              <w:right w:val="single" w:sz="4" w:space="0" w:color="auto"/>
            </w:tcBorders>
          </w:tcPr>
          <w:p w14:paraId="6B26A81F" w14:textId="77777777" w:rsidR="00726A67" w:rsidRPr="00B2735C" w:rsidRDefault="00726A67" w:rsidP="00726A67">
            <w:pPr>
              <w:jc w:val="center"/>
              <w:rPr>
                <w:color w:val="FF0000"/>
                <w:szCs w:val="21"/>
              </w:rPr>
            </w:pPr>
            <w:r>
              <w:rPr>
                <w:rFonts w:ascii="ＭＳ 明朝" w:eastAsia="ＭＳ 明朝" w:hAnsi="ＭＳ 明朝"/>
                <w:b/>
                <w:bCs/>
                <w:color w:val="000000" w:themeColor="text1"/>
                <w:sz w:val="18"/>
                <w:szCs w:val="18"/>
                <w:shd w:val="clear" w:color="auto" w:fill="FFFFFF"/>
              </w:rPr>
              <w:t>LD</w:t>
            </w:r>
          </w:p>
        </w:tc>
        <w:tc>
          <w:tcPr>
            <w:tcW w:w="1453" w:type="dxa"/>
            <w:tcBorders>
              <w:left w:val="single" w:sz="4" w:space="0" w:color="auto"/>
            </w:tcBorders>
            <w:hideMark/>
          </w:tcPr>
          <w:p w14:paraId="450CACDD" w14:textId="77777777" w:rsidR="00726A67" w:rsidRDefault="00726A67" w:rsidP="00726A67">
            <w:pPr>
              <w:spacing w:line="0" w:lineRule="atLeast"/>
              <w:jc w:val="center"/>
              <w:rPr>
                <w:color w:val="000000" w:themeColor="text1"/>
                <w:szCs w:val="21"/>
              </w:rPr>
            </w:pPr>
            <w:r>
              <w:rPr>
                <w:color w:val="000000" w:themeColor="text1"/>
                <w:szCs w:val="21"/>
              </w:rPr>
              <w:t>-0.0928</w:t>
            </w:r>
          </w:p>
          <w:p w14:paraId="12508104" w14:textId="77777777" w:rsidR="00726A67" w:rsidRPr="001D386D" w:rsidRDefault="00726A67" w:rsidP="00726A67">
            <w:pPr>
              <w:spacing w:line="0" w:lineRule="atLeast"/>
              <w:jc w:val="center"/>
              <w:rPr>
                <w:color w:val="000000" w:themeColor="text1"/>
                <w:szCs w:val="21"/>
              </w:rPr>
            </w:pPr>
            <w:r>
              <w:rPr>
                <w:color w:val="000000" w:themeColor="text1"/>
                <w:szCs w:val="21"/>
              </w:rPr>
              <w:t>(0.0337)***</w:t>
            </w:r>
          </w:p>
        </w:tc>
        <w:tc>
          <w:tcPr>
            <w:tcW w:w="927" w:type="dxa"/>
            <w:hideMark/>
          </w:tcPr>
          <w:p w14:paraId="35722B0E" w14:textId="77777777" w:rsidR="00726A67" w:rsidRPr="001D386D" w:rsidRDefault="00726A67" w:rsidP="00726A67">
            <w:pPr>
              <w:jc w:val="center"/>
              <w:rPr>
                <w:color w:val="000000" w:themeColor="text1"/>
                <w:szCs w:val="21"/>
              </w:rPr>
            </w:pPr>
            <w:r>
              <w:rPr>
                <w:color w:val="000000" w:themeColor="text1"/>
                <w:szCs w:val="21"/>
              </w:rPr>
              <w:t>-0.1588</w:t>
            </w:r>
          </w:p>
        </w:tc>
        <w:tc>
          <w:tcPr>
            <w:tcW w:w="1275" w:type="dxa"/>
            <w:hideMark/>
          </w:tcPr>
          <w:p w14:paraId="77EA7F31" w14:textId="77777777" w:rsidR="00726A67" w:rsidRPr="001D386D" w:rsidRDefault="00726A67" w:rsidP="00726A67">
            <w:pPr>
              <w:jc w:val="center"/>
              <w:rPr>
                <w:color w:val="000000" w:themeColor="text1"/>
                <w:szCs w:val="21"/>
              </w:rPr>
            </w:pPr>
            <w:r>
              <w:rPr>
                <w:color w:val="000000" w:themeColor="text1"/>
                <w:szCs w:val="21"/>
              </w:rPr>
              <w:t>-0.0267</w:t>
            </w:r>
          </w:p>
        </w:tc>
        <w:tc>
          <w:tcPr>
            <w:tcW w:w="1309" w:type="dxa"/>
          </w:tcPr>
          <w:p w14:paraId="7A1E6319" w14:textId="77777777" w:rsidR="00726A67" w:rsidRDefault="00726A67" w:rsidP="00726A67">
            <w:pPr>
              <w:spacing w:line="0" w:lineRule="atLeast"/>
              <w:jc w:val="center"/>
              <w:rPr>
                <w:color w:val="000000" w:themeColor="text1"/>
                <w:szCs w:val="21"/>
              </w:rPr>
            </w:pPr>
            <w:r>
              <w:rPr>
                <w:color w:val="000000" w:themeColor="text1"/>
                <w:szCs w:val="21"/>
              </w:rPr>
              <w:t>-0.0700</w:t>
            </w:r>
          </w:p>
          <w:p w14:paraId="7ACCB049" w14:textId="77777777" w:rsidR="00726A67" w:rsidRPr="001D386D" w:rsidRDefault="00726A67" w:rsidP="00726A67">
            <w:pPr>
              <w:spacing w:line="0" w:lineRule="atLeast"/>
              <w:jc w:val="center"/>
              <w:rPr>
                <w:color w:val="000000" w:themeColor="text1"/>
                <w:szCs w:val="21"/>
              </w:rPr>
            </w:pPr>
            <w:r>
              <w:rPr>
                <w:color w:val="000000" w:themeColor="text1"/>
                <w:szCs w:val="21"/>
              </w:rPr>
              <w:t>(0.0478)</w:t>
            </w:r>
          </w:p>
        </w:tc>
        <w:tc>
          <w:tcPr>
            <w:tcW w:w="941" w:type="dxa"/>
          </w:tcPr>
          <w:p w14:paraId="1993EA9D" w14:textId="77777777" w:rsidR="00726A67" w:rsidRPr="001D386D" w:rsidRDefault="00726A67" w:rsidP="00726A67">
            <w:pPr>
              <w:spacing w:line="0" w:lineRule="atLeast"/>
              <w:jc w:val="center"/>
              <w:rPr>
                <w:color w:val="000000" w:themeColor="text1"/>
                <w:szCs w:val="21"/>
              </w:rPr>
            </w:pPr>
            <w:r>
              <w:rPr>
                <w:color w:val="000000" w:themeColor="text1"/>
                <w:szCs w:val="21"/>
              </w:rPr>
              <w:t>-0.1637</w:t>
            </w:r>
          </w:p>
        </w:tc>
        <w:tc>
          <w:tcPr>
            <w:tcW w:w="937" w:type="dxa"/>
          </w:tcPr>
          <w:p w14:paraId="5A9C59E2" w14:textId="77777777" w:rsidR="00726A67" w:rsidRPr="001D386D" w:rsidRDefault="00726A67" w:rsidP="00726A67">
            <w:pPr>
              <w:spacing w:line="0" w:lineRule="atLeast"/>
              <w:jc w:val="center"/>
              <w:rPr>
                <w:color w:val="000000" w:themeColor="text1"/>
                <w:szCs w:val="21"/>
              </w:rPr>
            </w:pPr>
            <w:r>
              <w:rPr>
                <w:color w:val="000000" w:themeColor="text1"/>
                <w:szCs w:val="21"/>
              </w:rPr>
              <w:t>0.0237</w:t>
            </w:r>
          </w:p>
        </w:tc>
      </w:tr>
      <w:tr w:rsidR="00726A67" w:rsidRPr="00B2735C" w14:paraId="32838287" w14:textId="77777777" w:rsidTr="00726A67">
        <w:trPr>
          <w:trHeight w:val="726"/>
        </w:trPr>
        <w:tc>
          <w:tcPr>
            <w:tcW w:w="953" w:type="dxa"/>
            <w:vMerge/>
            <w:tcBorders>
              <w:top w:val="single" w:sz="4" w:space="0" w:color="auto"/>
            </w:tcBorders>
          </w:tcPr>
          <w:p w14:paraId="63BBEBDE" w14:textId="77777777" w:rsidR="00726A67" w:rsidRPr="00324F9B" w:rsidRDefault="00726A67" w:rsidP="00726A67">
            <w:pPr>
              <w:jc w:val="center"/>
              <w:rPr>
                <w:rFonts w:ascii="ＭＳ 明朝" w:eastAsia="ＭＳ 明朝" w:hAnsi="ＭＳ 明朝"/>
                <w:b/>
                <w:bCs/>
                <w:color w:val="000000" w:themeColor="text1"/>
                <w:sz w:val="18"/>
                <w:szCs w:val="18"/>
                <w:shd w:val="clear" w:color="auto" w:fill="FFFFFF"/>
              </w:rPr>
            </w:pPr>
          </w:p>
        </w:tc>
        <w:tc>
          <w:tcPr>
            <w:tcW w:w="709" w:type="dxa"/>
            <w:tcBorders>
              <w:right w:val="single" w:sz="4" w:space="0" w:color="auto"/>
            </w:tcBorders>
          </w:tcPr>
          <w:p w14:paraId="3B5491A5" w14:textId="77777777" w:rsidR="00726A67" w:rsidRPr="00324F9B" w:rsidRDefault="00726A67" w:rsidP="00726A67">
            <w:pPr>
              <w:jc w:val="center"/>
              <w:rPr>
                <w:rFonts w:ascii="ＭＳ 明朝" w:eastAsia="ＭＳ 明朝" w:hAnsi="ＭＳ 明朝"/>
                <w:b/>
                <w:bCs/>
                <w:color w:val="000000" w:themeColor="text1"/>
                <w:sz w:val="18"/>
                <w:szCs w:val="18"/>
                <w:shd w:val="clear" w:color="auto" w:fill="FFFFFF"/>
              </w:rPr>
            </w:pPr>
            <w:r>
              <w:rPr>
                <w:rFonts w:ascii="ＭＳ 明朝" w:eastAsia="ＭＳ 明朝" w:hAnsi="ＭＳ 明朝"/>
                <w:b/>
                <w:bCs/>
                <w:color w:val="000000" w:themeColor="text1"/>
                <w:sz w:val="18"/>
                <w:szCs w:val="18"/>
                <w:shd w:val="clear" w:color="auto" w:fill="FFFFFF"/>
              </w:rPr>
              <w:t>L2D</w:t>
            </w:r>
          </w:p>
        </w:tc>
        <w:tc>
          <w:tcPr>
            <w:tcW w:w="1453" w:type="dxa"/>
            <w:tcBorders>
              <w:left w:val="single" w:sz="4" w:space="0" w:color="auto"/>
            </w:tcBorders>
          </w:tcPr>
          <w:p w14:paraId="3664334B" w14:textId="77777777" w:rsidR="00726A67" w:rsidRDefault="00726A67" w:rsidP="00726A67">
            <w:pPr>
              <w:spacing w:line="0" w:lineRule="atLeast"/>
              <w:jc w:val="center"/>
              <w:rPr>
                <w:color w:val="000000" w:themeColor="text1"/>
                <w:szCs w:val="21"/>
              </w:rPr>
            </w:pPr>
            <w:r>
              <w:rPr>
                <w:color w:val="000000" w:themeColor="text1"/>
                <w:szCs w:val="21"/>
              </w:rPr>
              <w:t>0.0508</w:t>
            </w:r>
          </w:p>
          <w:p w14:paraId="3D10A19B" w14:textId="77777777" w:rsidR="00726A67" w:rsidRPr="001D386D" w:rsidRDefault="00726A67" w:rsidP="00726A67">
            <w:pPr>
              <w:spacing w:line="0" w:lineRule="atLeast"/>
              <w:jc w:val="center"/>
              <w:rPr>
                <w:color w:val="000000" w:themeColor="text1"/>
                <w:szCs w:val="21"/>
              </w:rPr>
            </w:pPr>
            <w:r>
              <w:rPr>
                <w:color w:val="000000" w:themeColor="text1"/>
                <w:szCs w:val="21"/>
              </w:rPr>
              <w:t>(0.0312)</w:t>
            </w:r>
          </w:p>
        </w:tc>
        <w:tc>
          <w:tcPr>
            <w:tcW w:w="927" w:type="dxa"/>
          </w:tcPr>
          <w:p w14:paraId="42149D96" w14:textId="77777777" w:rsidR="00726A67" w:rsidRPr="001D386D" w:rsidRDefault="00726A67" w:rsidP="00726A67">
            <w:pPr>
              <w:spacing w:line="0" w:lineRule="atLeast"/>
              <w:jc w:val="center"/>
              <w:rPr>
                <w:color w:val="000000" w:themeColor="text1"/>
                <w:szCs w:val="21"/>
              </w:rPr>
            </w:pPr>
            <w:r>
              <w:rPr>
                <w:color w:val="000000" w:themeColor="text1"/>
                <w:szCs w:val="21"/>
              </w:rPr>
              <w:t>-0.0103</w:t>
            </w:r>
          </w:p>
        </w:tc>
        <w:tc>
          <w:tcPr>
            <w:tcW w:w="1275" w:type="dxa"/>
          </w:tcPr>
          <w:p w14:paraId="2BEE5B03" w14:textId="77777777" w:rsidR="00726A67" w:rsidRPr="001D386D" w:rsidRDefault="00726A67" w:rsidP="00726A67">
            <w:pPr>
              <w:spacing w:line="0" w:lineRule="atLeast"/>
              <w:jc w:val="center"/>
              <w:rPr>
                <w:color w:val="000000" w:themeColor="text1"/>
                <w:szCs w:val="21"/>
              </w:rPr>
            </w:pPr>
            <w:r>
              <w:rPr>
                <w:color w:val="000000" w:themeColor="text1"/>
                <w:szCs w:val="21"/>
              </w:rPr>
              <w:t>0.1120</w:t>
            </w:r>
          </w:p>
        </w:tc>
        <w:tc>
          <w:tcPr>
            <w:tcW w:w="1309" w:type="dxa"/>
          </w:tcPr>
          <w:p w14:paraId="72263B8F" w14:textId="77777777" w:rsidR="00726A67" w:rsidRDefault="00726A67" w:rsidP="00726A67">
            <w:pPr>
              <w:spacing w:line="0" w:lineRule="atLeast"/>
              <w:jc w:val="center"/>
              <w:rPr>
                <w:color w:val="000000" w:themeColor="text1"/>
                <w:szCs w:val="21"/>
              </w:rPr>
            </w:pPr>
            <w:r>
              <w:rPr>
                <w:color w:val="000000" w:themeColor="text1"/>
                <w:szCs w:val="21"/>
              </w:rPr>
              <w:t>-0.0558</w:t>
            </w:r>
          </w:p>
          <w:p w14:paraId="3FC7C300" w14:textId="77777777" w:rsidR="00726A67" w:rsidRPr="001D386D" w:rsidRDefault="00726A67" w:rsidP="00726A67">
            <w:pPr>
              <w:spacing w:line="0" w:lineRule="atLeast"/>
              <w:jc w:val="center"/>
              <w:rPr>
                <w:color w:val="000000" w:themeColor="text1"/>
                <w:szCs w:val="21"/>
              </w:rPr>
            </w:pPr>
            <w:r>
              <w:rPr>
                <w:color w:val="000000" w:themeColor="text1"/>
                <w:szCs w:val="21"/>
              </w:rPr>
              <w:t>(0.0520)</w:t>
            </w:r>
          </w:p>
        </w:tc>
        <w:tc>
          <w:tcPr>
            <w:tcW w:w="941" w:type="dxa"/>
          </w:tcPr>
          <w:p w14:paraId="6D90C01F" w14:textId="77777777" w:rsidR="00726A67" w:rsidRPr="001D386D" w:rsidRDefault="00726A67" w:rsidP="00726A67">
            <w:pPr>
              <w:spacing w:line="0" w:lineRule="atLeast"/>
              <w:jc w:val="center"/>
              <w:rPr>
                <w:color w:val="000000" w:themeColor="text1"/>
                <w:szCs w:val="21"/>
              </w:rPr>
            </w:pPr>
            <w:r>
              <w:rPr>
                <w:color w:val="000000" w:themeColor="text1"/>
                <w:szCs w:val="21"/>
              </w:rPr>
              <w:t>-0.1576</w:t>
            </w:r>
          </w:p>
        </w:tc>
        <w:tc>
          <w:tcPr>
            <w:tcW w:w="937" w:type="dxa"/>
          </w:tcPr>
          <w:p w14:paraId="65275F65" w14:textId="77777777" w:rsidR="00726A67" w:rsidRPr="001D386D" w:rsidRDefault="00726A67" w:rsidP="00726A67">
            <w:pPr>
              <w:spacing w:line="0" w:lineRule="atLeast"/>
              <w:jc w:val="center"/>
              <w:rPr>
                <w:color w:val="000000" w:themeColor="text1"/>
                <w:szCs w:val="21"/>
              </w:rPr>
            </w:pPr>
            <w:r>
              <w:rPr>
                <w:color w:val="000000" w:themeColor="text1"/>
                <w:szCs w:val="21"/>
              </w:rPr>
              <w:t>0.0461</w:t>
            </w:r>
          </w:p>
        </w:tc>
      </w:tr>
      <w:tr w:rsidR="00726A67" w:rsidRPr="00B2735C" w14:paraId="427646C9" w14:textId="77777777" w:rsidTr="00726A67">
        <w:trPr>
          <w:trHeight w:val="83"/>
        </w:trPr>
        <w:tc>
          <w:tcPr>
            <w:tcW w:w="1662" w:type="dxa"/>
            <w:gridSpan w:val="2"/>
            <w:tcBorders>
              <w:right w:val="single" w:sz="4" w:space="0" w:color="auto"/>
            </w:tcBorders>
            <w:hideMark/>
          </w:tcPr>
          <w:p w14:paraId="7A3350E7" w14:textId="77777777" w:rsidR="00726A67" w:rsidRPr="00B2735C" w:rsidRDefault="00726A67" w:rsidP="00726A67">
            <w:pPr>
              <w:jc w:val="center"/>
              <w:rPr>
                <w:color w:val="FF0000"/>
                <w:szCs w:val="21"/>
              </w:rPr>
            </w:pPr>
            <w:r>
              <w:rPr>
                <w:rFonts w:ascii="ＭＳ 明朝" w:eastAsia="ＭＳ 明朝" w:hAnsi="ＭＳ 明朝"/>
                <w:b/>
                <w:bCs/>
                <w:color w:val="000000" w:themeColor="text1"/>
                <w:sz w:val="18"/>
                <w:szCs w:val="18"/>
                <w:shd w:val="clear" w:color="auto" w:fill="FFFFFF"/>
              </w:rPr>
              <w:t>D1.</w:t>
            </w:r>
            <w:r w:rsidRPr="00324F9B">
              <w:rPr>
                <w:rFonts w:ascii="ＭＳ 明朝" w:eastAsia="ＭＳ 明朝" w:hAnsi="ＭＳ 明朝" w:hint="eastAsia"/>
                <w:b/>
                <w:bCs/>
                <w:color w:val="000000" w:themeColor="text1"/>
                <w:sz w:val="18"/>
                <w:szCs w:val="18"/>
                <w:shd w:val="clear" w:color="auto" w:fill="FFFFFF"/>
              </w:rPr>
              <w:t>realgdp</w:t>
            </w:r>
          </w:p>
        </w:tc>
        <w:tc>
          <w:tcPr>
            <w:tcW w:w="1453" w:type="dxa"/>
            <w:tcBorders>
              <w:left w:val="single" w:sz="4" w:space="0" w:color="auto"/>
            </w:tcBorders>
            <w:hideMark/>
          </w:tcPr>
          <w:p w14:paraId="1DB3A249" w14:textId="77777777" w:rsidR="00726A67" w:rsidRDefault="00726A67" w:rsidP="00726A67">
            <w:pPr>
              <w:spacing w:line="0" w:lineRule="atLeast"/>
              <w:jc w:val="center"/>
              <w:rPr>
                <w:color w:val="000000" w:themeColor="text1"/>
                <w:szCs w:val="21"/>
              </w:rPr>
            </w:pPr>
            <w:r>
              <w:rPr>
                <w:color w:val="000000" w:themeColor="text1"/>
                <w:szCs w:val="21"/>
              </w:rPr>
              <w:t>-0.0109</w:t>
            </w:r>
          </w:p>
          <w:p w14:paraId="0F658172" w14:textId="77777777" w:rsidR="00726A67" w:rsidRPr="001D386D" w:rsidRDefault="00726A67" w:rsidP="00726A67">
            <w:pPr>
              <w:spacing w:line="0" w:lineRule="atLeast"/>
              <w:jc w:val="center"/>
              <w:rPr>
                <w:color w:val="000000" w:themeColor="text1"/>
                <w:szCs w:val="21"/>
              </w:rPr>
            </w:pPr>
            <w:r>
              <w:rPr>
                <w:color w:val="000000" w:themeColor="text1"/>
                <w:szCs w:val="21"/>
              </w:rPr>
              <w:t>(0.0297)</w:t>
            </w:r>
          </w:p>
        </w:tc>
        <w:tc>
          <w:tcPr>
            <w:tcW w:w="927" w:type="dxa"/>
            <w:hideMark/>
          </w:tcPr>
          <w:p w14:paraId="4423AB5C" w14:textId="77777777" w:rsidR="00726A67" w:rsidRPr="001D386D" w:rsidRDefault="00726A67" w:rsidP="00726A67">
            <w:pPr>
              <w:spacing w:line="0" w:lineRule="atLeast"/>
              <w:jc w:val="center"/>
              <w:rPr>
                <w:color w:val="000000" w:themeColor="text1"/>
                <w:szCs w:val="21"/>
              </w:rPr>
            </w:pPr>
            <w:r>
              <w:rPr>
                <w:color w:val="000000" w:themeColor="text1"/>
                <w:szCs w:val="21"/>
              </w:rPr>
              <w:t>-0.0691</w:t>
            </w:r>
          </w:p>
        </w:tc>
        <w:tc>
          <w:tcPr>
            <w:tcW w:w="1275" w:type="dxa"/>
            <w:hideMark/>
          </w:tcPr>
          <w:p w14:paraId="2771C410" w14:textId="77777777" w:rsidR="00726A67" w:rsidRPr="001D386D" w:rsidRDefault="00726A67" w:rsidP="00726A67">
            <w:pPr>
              <w:spacing w:line="0" w:lineRule="atLeast"/>
              <w:jc w:val="center"/>
              <w:rPr>
                <w:color w:val="000000" w:themeColor="text1"/>
                <w:szCs w:val="21"/>
              </w:rPr>
            </w:pPr>
            <w:r>
              <w:rPr>
                <w:color w:val="000000" w:themeColor="text1"/>
                <w:szCs w:val="21"/>
              </w:rPr>
              <w:t>0.0473</w:t>
            </w:r>
          </w:p>
        </w:tc>
        <w:tc>
          <w:tcPr>
            <w:tcW w:w="1309" w:type="dxa"/>
          </w:tcPr>
          <w:p w14:paraId="527B52E8" w14:textId="77777777" w:rsidR="00726A67" w:rsidRDefault="00726A67" w:rsidP="00726A67">
            <w:pPr>
              <w:spacing w:line="0" w:lineRule="atLeast"/>
              <w:jc w:val="center"/>
              <w:rPr>
                <w:color w:val="000000" w:themeColor="text1"/>
                <w:szCs w:val="21"/>
              </w:rPr>
            </w:pPr>
            <w:r>
              <w:rPr>
                <w:color w:val="000000" w:themeColor="text1"/>
                <w:szCs w:val="21"/>
              </w:rPr>
              <w:t>-0.1199</w:t>
            </w:r>
          </w:p>
          <w:p w14:paraId="602877DB" w14:textId="77777777" w:rsidR="00726A67" w:rsidRPr="001D386D" w:rsidRDefault="00726A67" w:rsidP="00726A67">
            <w:pPr>
              <w:spacing w:line="0" w:lineRule="atLeast"/>
              <w:jc w:val="center"/>
              <w:rPr>
                <w:color w:val="000000" w:themeColor="text1"/>
                <w:szCs w:val="21"/>
              </w:rPr>
            </w:pPr>
            <w:r>
              <w:rPr>
                <w:color w:val="000000" w:themeColor="text1"/>
                <w:szCs w:val="21"/>
              </w:rPr>
              <w:t>(0.0547)**</w:t>
            </w:r>
          </w:p>
        </w:tc>
        <w:tc>
          <w:tcPr>
            <w:tcW w:w="941" w:type="dxa"/>
          </w:tcPr>
          <w:p w14:paraId="0B8AE3C7" w14:textId="77777777" w:rsidR="00726A67" w:rsidRPr="001D386D" w:rsidRDefault="00726A67" w:rsidP="00726A67">
            <w:pPr>
              <w:spacing w:line="0" w:lineRule="atLeast"/>
              <w:jc w:val="center"/>
              <w:rPr>
                <w:color w:val="000000" w:themeColor="text1"/>
                <w:szCs w:val="21"/>
              </w:rPr>
            </w:pPr>
            <w:r>
              <w:rPr>
                <w:color w:val="000000" w:themeColor="text1"/>
                <w:szCs w:val="21"/>
              </w:rPr>
              <w:t>-0.2272</w:t>
            </w:r>
          </w:p>
        </w:tc>
        <w:tc>
          <w:tcPr>
            <w:tcW w:w="937" w:type="dxa"/>
          </w:tcPr>
          <w:p w14:paraId="6A510D40" w14:textId="77777777" w:rsidR="00726A67" w:rsidRPr="001D386D" w:rsidRDefault="00726A67" w:rsidP="00726A67">
            <w:pPr>
              <w:spacing w:line="0" w:lineRule="atLeast"/>
              <w:jc w:val="center"/>
              <w:rPr>
                <w:color w:val="000000" w:themeColor="text1"/>
                <w:szCs w:val="21"/>
              </w:rPr>
            </w:pPr>
            <w:r>
              <w:rPr>
                <w:color w:val="000000" w:themeColor="text1"/>
                <w:szCs w:val="21"/>
              </w:rPr>
              <w:t>-0.0126</w:t>
            </w:r>
          </w:p>
        </w:tc>
      </w:tr>
      <w:tr w:rsidR="00726A67" w:rsidRPr="00B2735C" w14:paraId="5F4058D5" w14:textId="77777777" w:rsidTr="00726A67">
        <w:trPr>
          <w:trHeight w:val="521"/>
        </w:trPr>
        <w:tc>
          <w:tcPr>
            <w:tcW w:w="1662" w:type="dxa"/>
            <w:gridSpan w:val="2"/>
            <w:tcBorders>
              <w:right w:val="single" w:sz="4" w:space="0" w:color="auto"/>
            </w:tcBorders>
            <w:hideMark/>
          </w:tcPr>
          <w:p w14:paraId="4E86747F" w14:textId="77777777" w:rsidR="00726A67" w:rsidRPr="00B2735C" w:rsidRDefault="00726A67" w:rsidP="00726A67">
            <w:pPr>
              <w:jc w:val="center"/>
              <w:rPr>
                <w:color w:val="FF0000"/>
                <w:szCs w:val="21"/>
              </w:rPr>
            </w:pPr>
            <w:proofErr w:type="spellStart"/>
            <w:r>
              <w:rPr>
                <w:rFonts w:ascii="ＭＳ 明朝" w:eastAsia="ＭＳ 明朝" w:hAnsi="ＭＳ 明朝"/>
                <w:b/>
                <w:bCs/>
                <w:color w:val="000000" w:themeColor="text1"/>
                <w:sz w:val="18"/>
                <w:szCs w:val="18"/>
                <w:shd w:val="clear" w:color="auto" w:fill="FFFFFF"/>
              </w:rPr>
              <w:t>ppi</w:t>
            </w:r>
            <w:proofErr w:type="spellEnd"/>
          </w:p>
        </w:tc>
        <w:tc>
          <w:tcPr>
            <w:tcW w:w="1453" w:type="dxa"/>
            <w:tcBorders>
              <w:left w:val="single" w:sz="4" w:space="0" w:color="auto"/>
            </w:tcBorders>
            <w:hideMark/>
          </w:tcPr>
          <w:p w14:paraId="1730000F" w14:textId="77777777" w:rsidR="00726A67" w:rsidRDefault="00726A67" w:rsidP="00726A67">
            <w:pPr>
              <w:spacing w:line="0" w:lineRule="atLeast"/>
              <w:jc w:val="center"/>
              <w:rPr>
                <w:color w:val="000000" w:themeColor="text1"/>
                <w:szCs w:val="21"/>
              </w:rPr>
            </w:pPr>
            <w:r>
              <w:rPr>
                <w:color w:val="000000" w:themeColor="text1"/>
                <w:szCs w:val="21"/>
              </w:rPr>
              <w:t>-0.0012</w:t>
            </w:r>
          </w:p>
          <w:p w14:paraId="277F03B6" w14:textId="77777777" w:rsidR="00726A67" w:rsidRPr="001D386D" w:rsidRDefault="00726A67" w:rsidP="00726A67">
            <w:pPr>
              <w:spacing w:line="0" w:lineRule="atLeast"/>
              <w:jc w:val="center"/>
              <w:rPr>
                <w:color w:val="000000" w:themeColor="text1"/>
                <w:szCs w:val="21"/>
              </w:rPr>
            </w:pPr>
            <w:r>
              <w:rPr>
                <w:color w:val="000000" w:themeColor="text1"/>
                <w:szCs w:val="21"/>
              </w:rPr>
              <w:t>(0.0003)***</w:t>
            </w:r>
          </w:p>
        </w:tc>
        <w:tc>
          <w:tcPr>
            <w:tcW w:w="927" w:type="dxa"/>
            <w:hideMark/>
          </w:tcPr>
          <w:p w14:paraId="4EBE22CD" w14:textId="77777777" w:rsidR="00726A67" w:rsidRPr="001D386D" w:rsidRDefault="00726A67" w:rsidP="00726A67">
            <w:pPr>
              <w:spacing w:line="0" w:lineRule="atLeast"/>
              <w:jc w:val="center"/>
              <w:rPr>
                <w:color w:val="000000" w:themeColor="text1"/>
                <w:szCs w:val="21"/>
              </w:rPr>
            </w:pPr>
            <w:r>
              <w:rPr>
                <w:color w:val="000000" w:themeColor="text1"/>
                <w:szCs w:val="21"/>
              </w:rPr>
              <w:t>-0.0017</w:t>
            </w:r>
          </w:p>
        </w:tc>
        <w:tc>
          <w:tcPr>
            <w:tcW w:w="1275" w:type="dxa"/>
            <w:hideMark/>
          </w:tcPr>
          <w:p w14:paraId="6F49E976" w14:textId="77777777" w:rsidR="00726A67" w:rsidRPr="001D386D" w:rsidRDefault="00726A67" w:rsidP="00726A67">
            <w:pPr>
              <w:spacing w:line="0" w:lineRule="atLeast"/>
              <w:jc w:val="center"/>
              <w:rPr>
                <w:color w:val="000000" w:themeColor="text1"/>
                <w:szCs w:val="21"/>
              </w:rPr>
            </w:pPr>
            <w:r>
              <w:rPr>
                <w:color w:val="000000" w:themeColor="text1"/>
                <w:szCs w:val="21"/>
              </w:rPr>
              <w:t>-0.0006</w:t>
            </w:r>
          </w:p>
        </w:tc>
        <w:tc>
          <w:tcPr>
            <w:tcW w:w="1309" w:type="dxa"/>
          </w:tcPr>
          <w:p w14:paraId="018E4FA7" w14:textId="77777777" w:rsidR="00726A67" w:rsidRDefault="00726A67" w:rsidP="00726A67">
            <w:pPr>
              <w:spacing w:line="0" w:lineRule="atLeast"/>
              <w:jc w:val="center"/>
              <w:rPr>
                <w:color w:val="000000" w:themeColor="text1"/>
                <w:szCs w:val="21"/>
              </w:rPr>
            </w:pPr>
            <w:r>
              <w:rPr>
                <w:color w:val="000000" w:themeColor="text1"/>
                <w:szCs w:val="21"/>
              </w:rPr>
              <w:t>-0.0012</w:t>
            </w:r>
          </w:p>
          <w:p w14:paraId="4B926FD7" w14:textId="77777777" w:rsidR="00726A67" w:rsidRPr="001D386D" w:rsidRDefault="00726A67" w:rsidP="00726A67">
            <w:pPr>
              <w:spacing w:line="0" w:lineRule="atLeast"/>
              <w:jc w:val="center"/>
              <w:rPr>
                <w:color w:val="000000" w:themeColor="text1"/>
                <w:szCs w:val="21"/>
              </w:rPr>
            </w:pPr>
            <w:r>
              <w:rPr>
                <w:color w:val="000000" w:themeColor="text1"/>
                <w:szCs w:val="21"/>
              </w:rPr>
              <w:t>(0.0003)***</w:t>
            </w:r>
          </w:p>
        </w:tc>
        <w:tc>
          <w:tcPr>
            <w:tcW w:w="941" w:type="dxa"/>
          </w:tcPr>
          <w:p w14:paraId="4BD97175" w14:textId="77777777" w:rsidR="00726A67" w:rsidRPr="001D386D" w:rsidRDefault="00726A67" w:rsidP="00726A67">
            <w:pPr>
              <w:spacing w:line="0" w:lineRule="atLeast"/>
              <w:jc w:val="center"/>
              <w:rPr>
                <w:color w:val="000000" w:themeColor="text1"/>
                <w:szCs w:val="21"/>
              </w:rPr>
            </w:pPr>
            <w:r>
              <w:rPr>
                <w:color w:val="000000" w:themeColor="text1"/>
                <w:szCs w:val="21"/>
              </w:rPr>
              <w:t>-0.0017</w:t>
            </w:r>
          </w:p>
        </w:tc>
        <w:tc>
          <w:tcPr>
            <w:tcW w:w="937" w:type="dxa"/>
          </w:tcPr>
          <w:p w14:paraId="6FE27F73" w14:textId="77777777" w:rsidR="00726A67" w:rsidRPr="001D386D" w:rsidRDefault="00726A67" w:rsidP="00726A67">
            <w:pPr>
              <w:spacing w:line="0" w:lineRule="atLeast"/>
              <w:jc w:val="center"/>
              <w:rPr>
                <w:color w:val="000000" w:themeColor="text1"/>
                <w:szCs w:val="21"/>
              </w:rPr>
            </w:pPr>
            <w:r>
              <w:rPr>
                <w:color w:val="000000" w:themeColor="text1"/>
                <w:szCs w:val="21"/>
              </w:rPr>
              <w:t>-0.0006</w:t>
            </w:r>
          </w:p>
        </w:tc>
      </w:tr>
      <w:tr w:rsidR="00726A67" w:rsidRPr="00B2735C" w14:paraId="38F303EC" w14:textId="77777777" w:rsidTr="00726A67">
        <w:trPr>
          <w:trHeight w:val="614"/>
        </w:trPr>
        <w:tc>
          <w:tcPr>
            <w:tcW w:w="1662" w:type="dxa"/>
            <w:gridSpan w:val="2"/>
            <w:tcBorders>
              <w:right w:val="single" w:sz="4" w:space="0" w:color="auto"/>
            </w:tcBorders>
            <w:hideMark/>
          </w:tcPr>
          <w:p w14:paraId="429CDF89" w14:textId="77777777" w:rsidR="00726A67" w:rsidRPr="00B2735C" w:rsidRDefault="00726A67" w:rsidP="00726A67">
            <w:pPr>
              <w:jc w:val="center"/>
              <w:rPr>
                <w:color w:val="FF0000"/>
                <w:szCs w:val="21"/>
              </w:rPr>
            </w:pPr>
            <w:r w:rsidRPr="00324F9B">
              <w:rPr>
                <w:rFonts w:ascii="ＭＳ 明朝" w:eastAsia="ＭＳ 明朝" w:hAnsi="ＭＳ 明朝" w:hint="eastAsia"/>
                <w:b/>
                <w:bCs/>
                <w:color w:val="000000" w:themeColor="text1"/>
                <w:sz w:val="18"/>
                <w:szCs w:val="18"/>
              </w:rPr>
              <w:t>policy</w:t>
            </w:r>
          </w:p>
        </w:tc>
        <w:tc>
          <w:tcPr>
            <w:tcW w:w="1453" w:type="dxa"/>
            <w:tcBorders>
              <w:left w:val="single" w:sz="4" w:space="0" w:color="auto"/>
            </w:tcBorders>
            <w:hideMark/>
          </w:tcPr>
          <w:p w14:paraId="173863CA" w14:textId="77777777" w:rsidR="00726A67" w:rsidRDefault="00726A67" w:rsidP="00726A67">
            <w:pPr>
              <w:spacing w:line="0" w:lineRule="atLeast"/>
              <w:jc w:val="center"/>
              <w:rPr>
                <w:color w:val="000000" w:themeColor="text1"/>
                <w:szCs w:val="21"/>
              </w:rPr>
            </w:pPr>
            <w:r>
              <w:rPr>
                <w:color w:val="000000" w:themeColor="text1"/>
                <w:szCs w:val="21"/>
              </w:rPr>
              <w:t>0.0184</w:t>
            </w:r>
          </w:p>
          <w:p w14:paraId="6958E7C4" w14:textId="77777777" w:rsidR="00726A67" w:rsidRPr="001D386D" w:rsidRDefault="00726A67" w:rsidP="00726A67">
            <w:pPr>
              <w:spacing w:line="0" w:lineRule="atLeast"/>
              <w:jc w:val="center"/>
              <w:rPr>
                <w:color w:val="000000" w:themeColor="text1"/>
                <w:szCs w:val="21"/>
              </w:rPr>
            </w:pPr>
            <w:r>
              <w:rPr>
                <w:color w:val="000000" w:themeColor="text1"/>
                <w:szCs w:val="21"/>
              </w:rPr>
              <w:t>(0.0113)</w:t>
            </w:r>
          </w:p>
        </w:tc>
        <w:tc>
          <w:tcPr>
            <w:tcW w:w="927" w:type="dxa"/>
            <w:hideMark/>
          </w:tcPr>
          <w:p w14:paraId="12C02A90" w14:textId="77777777" w:rsidR="00726A67" w:rsidRPr="001D386D" w:rsidRDefault="00726A67" w:rsidP="00726A67">
            <w:pPr>
              <w:spacing w:line="0" w:lineRule="atLeast"/>
              <w:jc w:val="center"/>
              <w:rPr>
                <w:color w:val="000000" w:themeColor="text1"/>
                <w:szCs w:val="21"/>
              </w:rPr>
            </w:pPr>
            <w:r>
              <w:rPr>
                <w:color w:val="000000" w:themeColor="text1"/>
                <w:szCs w:val="21"/>
              </w:rPr>
              <w:t>-0.0036</w:t>
            </w:r>
          </w:p>
        </w:tc>
        <w:tc>
          <w:tcPr>
            <w:tcW w:w="1275" w:type="dxa"/>
            <w:hideMark/>
          </w:tcPr>
          <w:p w14:paraId="712DA06A" w14:textId="77777777" w:rsidR="00726A67" w:rsidRPr="001D386D" w:rsidRDefault="00726A67" w:rsidP="00726A67">
            <w:pPr>
              <w:spacing w:line="0" w:lineRule="atLeast"/>
              <w:jc w:val="center"/>
              <w:rPr>
                <w:color w:val="000000" w:themeColor="text1"/>
                <w:szCs w:val="21"/>
              </w:rPr>
            </w:pPr>
            <w:r>
              <w:rPr>
                <w:color w:val="000000" w:themeColor="text1"/>
                <w:szCs w:val="21"/>
              </w:rPr>
              <w:t>0.0405</w:t>
            </w:r>
          </w:p>
        </w:tc>
        <w:tc>
          <w:tcPr>
            <w:tcW w:w="1309" w:type="dxa"/>
          </w:tcPr>
          <w:p w14:paraId="7E6FF4FF" w14:textId="77777777" w:rsidR="00726A67" w:rsidRPr="001D386D" w:rsidRDefault="00726A67" w:rsidP="00726A67">
            <w:pPr>
              <w:spacing w:line="0" w:lineRule="atLeast"/>
              <w:jc w:val="center"/>
              <w:rPr>
                <w:color w:val="000000" w:themeColor="text1"/>
                <w:szCs w:val="21"/>
              </w:rPr>
            </w:pPr>
          </w:p>
        </w:tc>
        <w:tc>
          <w:tcPr>
            <w:tcW w:w="941" w:type="dxa"/>
          </w:tcPr>
          <w:p w14:paraId="2816C975" w14:textId="77777777" w:rsidR="00726A67" w:rsidRPr="001D386D" w:rsidRDefault="00726A67" w:rsidP="00726A67">
            <w:pPr>
              <w:spacing w:line="0" w:lineRule="atLeast"/>
              <w:jc w:val="center"/>
              <w:rPr>
                <w:color w:val="000000" w:themeColor="text1"/>
                <w:szCs w:val="21"/>
              </w:rPr>
            </w:pPr>
          </w:p>
        </w:tc>
        <w:tc>
          <w:tcPr>
            <w:tcW w:w="937" w:type="dxa"/>
          </w:tcPr>
          <w:p w14:paraId="0D3B59DC" w14:textId="77777777" w:rsidR="00726A67" w:rsidRPr="001D386D" w:rsidRDefault="00726A67" w:rsidP="00726A67">
            <w:pPr>
              <w:spacing w:line="0" w:lineRule="atLeast"/>
              <w:jc w:val="center"/>
              <w:rPr>
                <w:color w:val="000000" w:themeColor="text1"/>
                <w:szCs w:val="21"/>
              </w:rPr>
            </w:pPr>
          </w:p>
        </w:tc>
      </w:tr>
      <w:tr w:rsidR="00726A67" w:rsidRPr="00B2735C" w14:paraId="232E9E5F" w14:textId="77777777" w:rsidTr="00726A67">
        <w:trPr>
          <w:trHeight w:val="707"/>
        </w:trPr>
        <w:tc>
          <w:tcPr>
            <w:tcW w:w="1662" w:type="dxa"/>
            <w:gridSpan w:val="2"/>
            <w:tcBorders>
              <w:right w:val="single" w:sz="4" w:space="0" w:color="auto"/>
            </w:tcBorders>
            <w:hideMark/>
          </w:tcPr>
          <w:p w14:paraId="5DEA34A6" w14:textId="77777777" w:rsidR="00726A67" w:rsidRPr="00B2735C" w:rsidRDefault="00726A67" w:rsidP="00726A67">
            <w:pPr>
              <w:jc w:val="center"/>
              <w:rPr>
                <w:color w:val="FF0000"/>
                <w:szCs w:val="21"/>
              </w:rPr>
            </w:pPr>
            <w:proofErr w:type="spellStart"/>
            <w:r w:rsidRPr="00324F9B">
              <w:rPr>
                <w:rFonts w:ascii="ＭＳ 明朝" w:eastAsia="ＭＳ 明朝" w:hAnsi="ＭＳ 明朝" w:hint="eastAsia"/>
                <w:b/>
                <w:bCs/>
                <w:color w:val="000000" w:themeColor="text1"/>
                <w:sz w:val="18"/>
                <w:szCs w:val="18"/>
                <w:shd w:val="clear" w:color="auto" w:fill="FFFFFF"/>
              </w:rPr>
              <w:t>eq</w:t>
            </w:r>
            <w:proofErr w:type="spellEnd"/>
          </w:p>
        </w:tc>
        <w:tc>
          <w:tcPr>
            <w:tcW w:w="1453" w:type="dxa"/>
            <w:tcBorders>
              <w:left w:val="single" w:sz="4" w:space="0" w:color="auto"/>
            </w:tcBorders>
            <w:hideMark/>
          </w:tcPr>
          <w:p w14:paraId="7CF29BD1" w14:textId="77777777" w:rsidR="00726A67" w:rsidRDefault="00726A67" w:rsidP="00726A67">
            <w:pPr>
              <w:spacing w:line="0" w:lineRule="atLeast"/>
              <w:jc w:val="center"/>
              <w:rPr>
                <w:color w:val="000000" w:themeColor="text1"/>
                <w:szCs w:val="21"/>
              </w:rPr>
            </w:pPr>
            <w:r>
              <w:rPr>
                <w:color w:val="000000" w:themeColor="text1"/>
                <w:szCs w:val="21"/>
              </w:rPr>
              <w:t>-0.0020</w:t>
            </w:r>
          </w:p>
          <w:p w14:paraId="0250A720" w14:textId="77777777" w:rsidR="00726A67" w:rsidRPr="001D386D" w:rsidRDefault="00726A67" w:rsidP="00726A67">
            <w:pPr>
              <w:spacing w:line="0" w:lineRule="atLeast"/>
              <w:jc w:val="center"/>
              <w:rPr>
                <w:color w:val="000000" w:themeColor="text1"/>
                <w:szCs w:val="21"/>
              </w:rPr>
            </w:pPr>
            <w:r>
              <w:rPr>
                <w:color w:val="000000" w:themeColor="text1"/>
                <w:szCs w:val="21"/>
              </w:rPr>
              <w:t>(0.0108)</w:t>
            </w:r>
          </w:p>
        </w:tc>
        <w:tc>
          <w:tcPr>
            <w:tcW w:w="927" w:type="dxa"/>
            <w:hideMark/>
          </w:tcPr>
          <w:p w14:paraId="6B283663" w14:textId="77777777" w:rsidR="00726A67" w:rsidRPr="001D386D" w:rsidRDefault="00726A67" w:rsidP="00726A67">
            <w:pPr>
              <w:spacing w:line="0" w:lineRule="atLeast"/>
              <w:jc w:val="center"/>
              <w:rPr>
                <w:color w:val="000000" w:themeColor="text1"/>
                <w:szCs w:val="21"/>
              </w:rPr>
            </w:pPr>
            <w:r>
              <w:rPr>
                <w:color w:val="000000" w:themeColor="text1"/>
                <w:szCs w:val="21"/>
              </w:rPr>
              <w:t>-0.0231</w:t>
            </w:r>
          </w:p>
        </w:tc>
        <w:tc>
          <w:tcPr>
            <w:tcW w:w="1275" w:type="dxa"/>
            <w:hideMark/>
          </w:tcPr>
          <w:p w14:paraId="00BB63EA" w14:textId="77777777" w:rsidR="00726A67" w:rsidRPr="001D386D" w:rsidRDefault="00726A67" w:rsidP="00726A67">
            <w:pPr>
              <w:spacing w:line="0" w:lineRule="atLeast"/>
              <w:jc w:val="center"/>
              <w:rPr>
                <w:color w:val="000000" w:themeColor="text1"/>
                <w:szCs w:val="21"/>
              </w:rPr>
            </w:pPr>
            <w:r>
              <w:rPr>
                <w:color w:val="000000" w:themeColor="text1"/>
                <w:szCs w:val="21"/>
              </w:rPr>
              <w:t>0.0191</w:t>
            </w:r>
          </w:p>
        </w:tc>
        <w:tc>
          <w:tcPr>
            <w:tcW w:w="1309" w:type="dxa"/>
          </w:tcPr>
          <w:p w14:paraId="2FF4BA70" w14:textId="77777777" w:rsidR="00726A67" w:rsidRPr="001D386D" w:rsidRDefault="00726A67" w:rsidP="00726A67">
            <w:pPr>
              <w:spacing w:line="0" w:lineRule="atLeast"/>
              <w:jc w:val="center"/>
              <w:rPr>
                <w:color w:val="000000" w:themeColor="text1"/>
                <w:szCs w:val="21"/>
              </w:rPr>
            </w:pPr>
          </w:p>
        </w:tc>
        <w:tc>
          <w:tcPr>
            <w:tcW w:w="941" w:type="dxa"/>
          </w:tcPr>
          <w:p w14:paraId="5AA11787" w14:textId="77777777" w:rsidR="00726A67" w:rsidRPr="001D386D" w:rsidRDefault="00726A67" w:rsidP="00726A67">
            <w:pPr>
              <w:spacing w:line="0" w:lineRule="atLeast"/>
              <w:jc w:val="center"/>
              <w:rPr>
                <w:color w:val="000000" w:themeColor="text1"/>
                <w:szCs w:val="21"/>
              </w:rPr>
            </w:pPr>
          </w:p>
        </w:tc>
        <w:tc>
          <w:tcPr>
            <w:tcW w:w="937" w:type="dxa"/>
          </w:tcPr>
          <w:p w14:paraId="71108E43" w14:textId="77777777" w:rsidR="00726A67" w:rsidRPr="001D386D" w:rsidRDefault="00726A67" w:rsidP="00726A67">
            <w:pPr>
              <w:spacing w:line="0" w:lineRule="atLeast"/>
              <w:jc w:val="center"/>
              <w:rPr>
                <w:color w:val="000000" w:themeColor="text1"/>
                <w:szCs w:val="21"/>
              </w:rPr>
            </w:pPr>
          </w:p>
        </w:tc>
      </w:tr>
      <w:tr w:rsidR="00726A67" w:rsidRPr="00B2735C" w14:paraId="49CEB623" w14:textId="77777777" w:rsidTr="00726A67">
        <w:trPr>
          <w:trHeight w:val="707"/>
        </w:trPr>
        <w:tc>
          <w:tcPr>
            <w:tcW w:w="1662" w:type="dxa"/>
            <w:gridSpan w:val="2"/>
            <w:tcBorders>
              <w:right w:val="single" w:sz="4" w:space="0" w:color="auto"/>
            </w:tcBorders>
            <w:hideMark/>
          </w:tcPr>
          <w:p w14:paraId="4E7E6A11" w14:textId="77777777" w:rsidR="00726A67" w:rsidRPr="00B2735C" w:rsidRDefault="00726A67" w:rsidP="00726A67">
            <w:pPr>
              <w:jc w:val="center"/>
              <w:rPr>
                <w:color w:val="FF0000"/>
                <w:szCs w:val="21"/>
              </w:rPr>
            </w:pPr>
            <w:r w:rsidRPr="00324F9B">
              <w:rPr>
                <w:rFonts w:ascii="ＭＳ 明朝" w:eastAsia="ＭＳ 明朝" w:hAnsi="ＭＳ 明朝"/>
                <w:color w:val="000000" w:themeColor="text1"/>
                <w:sz w:val="18"/>
                <w:szCs w:val="18"/>
                <w:shd w:val="clear" w:color="auto" w:fill="FFFFFF"/>
              </w:rPr>
              <w:t>e</w:t>
            </w:r>
          </w:p>
        </w:tc>
        <w:tc>
          <w:tcPr>
            <w:tcW w:w="1453" w:type="dxa"/>
            <w:tcBorders>
              <w:left w:val="single" w:sz="4" w:space="0" w:color="auto"/>
            </w:tcBorders>
            <w:hideMark/>
          </w:tcPr>
          <w:p w14:paraId="62B7F9EC" w14:textId="77777777" w:rsidR="00726A67" w:rsidRDefault="00726A67" w:rsidP="00726A67">
            <w:pPr>
              <w:spacing w:line="0" w:lineRule="atLeast"/>
              <w:jc w:val="center"/>
              <w:rPr>
                <w:color w:val="000000" w:themeColor="text1"/>
                <w:szCs w:val="21"/>
                <w:lang w:eastAsia="zh-CN"/>
              </w:rPr>
            </w:pPr>
            <w:r>
              <w:rPr>
                <w:color w:val="000000" w:themeColor="text1"/>
                <w:szCs w:val="21"/>
                <w:lang w:eastAsia="zh-CN"/>
              </w:rPr>
              <w:t>0.0014</w:t>
            </w:r>
          </w:p>
          <w:p w14:paraId="46FBB437" w14:textId="77777777" w:rsidR="00726A67" w:rsidRPr="001D386D" w:rsidRDefault="00726A67" w:rsidP="00726A67">
            <w:pPr>
              <w:spacing w:line="0" w:lineRule="atLeast"/>
              <w:jc w:val="center"/>
              <w:rPr>
                <w:color w:val="000000" w:themeColor="text1"/>
                <w:szCs w:val="21"/>
                <w:lang w:eastAsia="zh-CN"/>
              </w:rPr>
            </w:pPr>
            <w:r>
              <w:rPr>
                <w:color w:val="000000" w:themeColor="text1"/>
                <w:szCs w:val="21"/>
                <w:lang w:eastAsia="zh-CN"/>
              </w:rPr>
              <w:t>(0.0086)</w:t>
            </w:r>
          </w:p>
        </w:tc>
        <w:tc>
          <w:tcPr>
            <w:tcW w:w="927" w:type="dxa"/>
            <w:hideMark/>
          </w:tcPr>
          <w:p w14:paraId="413D87E2" w14:textId="77777777" w:rsidR="00726A67" w:rsidRPr="001D386D" w:rsidRDefault="00726A67" w:rsidP="00726A67">
            <w:pPr>
              <w:spacing w:line="0" w:lineRule="atLeast"/>
              <w:jc w:val="center"/>
              <w:rPr>
                <w:color w:val="000000" w:themeColor="text1"/>
                <w:szCs w:val="21"/>
              </w:rPr>
            </w:pPr>
            <w:r>
              <w:rPr>
                <w:color w:val="000000" w:themeColor="text1"/>
                <w:szCs w:val="21"/>
              </w:rPr>
              <w:t>-0.0155</w:t>
            </w:r>
          </w:p>
        </w:tc>
        <w:tc>
          <w:tcPr>
            <w:tcW w:w="1275" w:type="dxa"/>
            <w:hideMark/>
          </w:tcPr>
          <w:p w14:paraId="7092C423" w14:textId="77777777" w:rsidR="00726A67" w:rsidRPr="001D386D" w:rsidRDefault="00726A67" w:rsidP="00726A67">
            <w:pPr>
              <w:spacing w:line="0" w:lineRule="atLeast"/>
              <w:jc w:val="center"/>
              <w:rPr>
                <w:color w:val="000000" w:themeColor="text1"/>
                <w:szCs w:val="21"/>
              </w:rPr>
            </w:pPr>
            <w:r>
              <w:rPr>
                <w:color w:val="000000" w:themeColor="text1"/>
                <w:szCs w:val="21"/>
              </w:rPr>
              <w:t>0.0183</w:t>
            </w:r>
          </w:p>
        </w:tc>
        <w:tc>
          <w:tcPr>
            <w:tcW w:w="1309" w:type="dxa"/>
          </w:tcPr>
          <w:p w14:paraId="497B6727" w14:textId="77777777" w:rsidR="00726A67" w:rsidRPr="001D386D" w:rsidRDefault="00726A67" w:rsidP="00726A67">
            <w:pPr>
              <w:spacing w:line="0" w:lineRule="atLeast"/>
              <w:jc w:val="center"/>
              <w:rPr>
                <w:color w:val="000000" w:themeColor="text1"/>
                <w:szCs w:val="21"/>
              </w:rPr>
            </w:pPr>
          </w:p>
        </w:tc>
        <w:tc>
          <w:tcPr>
            <w:tcW w:w="941" w:type="dxa"/>
          </w:tcPr>
          <w:p w14:paraId="1E312780" w14:textId="77777777" w:rsidR="00726A67" w:rsidRPr="001D386D" w:rsidRDefault="00726A67" w:rsidP="00726A67">
            <w:pPr>
              <w:spacing w:line="0" w:lineRule="atLeast"/>
              <w:jc w:val="center"/>
              <w:rPr>
                <w:color w:val="000000" w:themeColor="text1"/>
                <w:szCs w:val="21"/>
              </w:rPr>
            </w:pPr>
          </w:p>
        </w:tc>
        <w:tc>
          <w:tcPr>
            <w:tcW w:w="937" w:type="dxa"/>
          </w:tcPr>
          <w:p w14:paraId="5EC5154B" w14:textId="77777777" w:rsidR="00726A67" w:rsidRPr="001D386D" w:rsidRDefault="00726A67" w:rsidP="00726A67">
            <w:pPr>
              <w:spacing w:line="0" w:lineRule="atLeast"/>
              <w:jc w:val="center"/>
              <w:rPr>
                <w:color w:val="000000" w:themeColor="text1"/>
                <w:szCs w:val="21"/>
              </w:rPr>
            </w:pPr>
          </w:p>
        </w:tc>
      </w:tr>
      <w:tr w:rsidR="00726A67" w:rsidRPr="00B2735C" w14:paraId="6A6DD2BF" w14:textId="77777777" w:rsidTr="00726A67">
        <w:trPr>
          <w:trHeight w:val="707"/>
        </w:trPr>
        <w:tc>
          <w:tcPr>
            <w:tcW w:w="1662" w:type="dxa"/>
            <w:gridSpan w:val="2"/>
            <w:tcBorders>
              <w:right w:val="single" w:sz="4" w:space="0" w:color="auto"/>
            </w:tcBorders>
            <w:hideMark/>
          </w:tcPr>
          <w:p w14:paraId="1A2E3907" w14:textId="77777777" w:rsidR="00726A67" w:rsidRPr="00B2735C" w:rsidRDefault="00726A67" w:rsidP="00726A67">
            <w:pPr>
              <w:jc w:val="center"/>
              <w:rPr>
                <w:color w:val="FF0000"/>
                <w:szCs w:val="21"/>
              </w:rPr>
            </w:pPr>
            <w:r w:rsidRPr="00324F9B">
              <w:rPr>
                <w:rFonts w:ascii="ＭＳ 明朝" w:eastAsia="ＭＳ 明朝" w:hAnsi="ＭＳ 明朝"/>
                <w:color w:val="000000" w:themeColor="text1"/>
                <w:sz w:val="18"/>
                <w:szCs w:val="18"/>
                <w:shd w:val="clear" w:color="auto" w:fill="FFFFFF"/>
              </w:rPr>
              <w:t>d</w:t>
            </w:r>
          </w:p>
        </w:tc>
        <w:tc>
          <w:tcPr>
            <w:tcW w:w="1453" w:type="dxa"/>
            <w:tcBorders>
              <w:left w:val="single" w:sz="4" w:space="0" w:color="auto"/>
            </w:tcBorders>
            <w:hideMark/>
          </w:tcPr>
          <w:p w14:paraId="7A4E92FD" w14:textId="77777777" w:rsidR="00726A67" w:rsidRDefault="00726A67" w:rsidP="00726A67">
            <w:pPr>
              <w:spacing w:line="0" w:lineRule="atLeast"/>
              <w:jc w:val="center"/>
              <w:rPr>
                <w:color w:val="000000" w:themeColor="text1"/>
                <w:szCs w:val="21"/>
                <w:lang w:eastAsia="zh-CN"/>
              </w:rPr>
            </w:pPr>
            <w:r>
              <w:rPr>
                <w:color w:val="000000" w:themeColor="text1"/>
                <w:szCs w:val="21"/>
                <w:lang w:eastAsia="zh-CN"/>
              </w:rPr>
              <w:t>0.0088</w:t>
            </w:r>
          </w:p>
          <w:p w14:paraId="3369DEC2" w14:textId="77777777" w:rsidR="00726A67" w:rsidRPr="001D386D" w:rsidRDefault="00726A67" w:rsidP="00726A67">
            <w:pPr>
              <w:spacing w:line="0" w:lineRule="atLeast"/>
              <w:jc w:val="center"/>
              <w:rPr>
                <w:color w:val="000000" w:themeColor="text1"/>
                <w:szCs w:val="21"/>
                <w:lang w:eastAsia="zh-CN"/>
              </w:rPr>
            </w:pPr>
            <w:r>
              <w:rPr>
                <w:color w:val="000000" w:themeColor="text1"/>
                <w:szCs w:val="21"/>
                <w:lang w:eastAsia="zh-CN"/>
              </w:rPr>
              <w:t>(0.0055)</w:t>
            </w:r>
          </w:p>
        </w:tc>
        <w:tc>
          <w:tcPr>
            <w:tcW w:w="927" w:type="dxa"/>
            <w:hideMark/>
          </w:tcPr>
          <w:p w14:paraId="7F939336" w14:textId="77777777" w:rsidR="00726A67" w:rsidRPr="001D386D" w:rsidRDefault="00726A67" w:rsidP="00726A67">
            <w:pPr>
              <w:spacing w:line="0" w:lineRule="atLeast"/>
              <w:jc w:val="center"/>
              <w:rPr>
                <w:color w:val="000000" w:themeColor="text1"/>
                <w:szCs w:val="21"/>
              </w:rPr>
            </w:pPr>
            <w:r>
              <w:rPr>
                <w:color w:val="000000" w:themeColor="text1"/>
                <w:szCs w:val="21"/>
              </w:rPr>
              <w:t>-0.0019</w:t>
            </w:r>
          </w:p>
        </w:tc>
        <w:tc>
          <w:tcPr>
            <w:tcW w:w="1275" w:type="dxa"/>
            <w:hideMark/>
          </w:tcPr>
          <w:p w14:paraId="5B837D8B" w14:textId="77777777" w:rsidR="00726A67" w:rsidRPr="001D386D" w:rsidRDefault="00726A67" w:rsidP="00726A67">
            <w:pPr>
              <w:spacing w:line="0" w:lineRule="atLeast"/>
              <w:jc w:val="center"/>
              <w:rPr>
                <w:color w:val="000000" w:themeColor="text1"/>
                <w:szCs w:val="21"/>
              </w:rPr>
            </w:pPr>
            <w:r>
              <w:rPr>
                <w:color w:val="000000" w:themeColor="text1"/>
                <w:szCs w:val="21"/>
              </w:rPr>
              <w:t>0.0195</w:t>
            </w:r>
          </w:p>
        </w:tc>
        <w:tc>
          <w:tcPr>
            <w:tcW w:w="1309" w:type="dxa"/>
          </w:tcPr>
          <w:p w14:paraId="5E74324F" w14:textId="77777777" w:rsidR="00726A67" w:rsidRDefault="00726A67" w:rsidP="00726A67">
            <w:pPr>
              <w:spacing w:line="0" w:lineRule="atLeast"/>
              <w:jc w:val="center"/>
              <w:rPr>
                <w:color w:val="000000" w:themeColor="text1"/>
                <w:szCs w:val="21"/>
              </w:rPr>
            </w:pPr>
            <w:r>
              <w:rPr>
                <w:color w:val="000000" w:themeColor="text1"/>
                <w:szCs w:val="21"/>
              </w:rPr>
              <w:t>0.0050</w:t>
            </w:r>
          </w:p>
          <w:p w14:paraId="2ABAE15C" w14:textId="77777777" w:rsidR="00726A67" w:rsidRPr="001D386D" w:rsidRDefault="00726A67" w:rsidP="00726A67">
            <w:pPr>
              <w:spacing w:line="0" w:lineRule="atLeast"/>
              <w:jc w:val="center"/>
              <w:rPr>
                <w:color w:val="000000" w:themeColor="text1"/>
                <w:szCs w:val="21"/>
              </w:rPr>
            </w:pPr>
            <w:r>
              <w:rPr>
                <w:color w:val="000000" w:themeColor="text1"/>
                <w:szCs w:val="21"/>
              </w:rPr>
              <w:t>(0.0082)</w:t>
            </w:r>
          </w:p>
        </w:tc>
        <w:tc>
          <w:tcPr>
            <w:tcW w:w="941" w:type="dxa"/>
          </w:tcPr>
          <w:p w14:paraId="5E644609" w14:textId="77777777" w:rsidR="00726A67" w:rsidRPr="001D386D" w:rsidRDefault="00726A67" w:rsidP="00726A67">
            <w:pPr>
              <w:spacing w:line="0" w:lineRule="atLeast"/>
              <w:jc w:val="center"/>
              <w:rPr>
                <w:color w:val="000000" w:themeColor="text1"/>
                <w:szCs w:val="21"/>
              </w:rPr>
            </w:pPr>
            <w:r>
              <w:rPr>
                <w:color w:val="000000" w:themeColor="text1"/>
                <w:szCs w:val="21"/>
              </w:rPr>
              <w:t>-0.0110</w:t>
            </w:r>
          </w:p>
        </w:tc>
        <w:tc>
          <w:tcPr>
            <w:tcW w:w="937" w:type="dxa"/>
          </w:tcPr>
          <w:p w14:paraId="47DFA947" w14:textId="77777777" w:rsidR="00726A67" w:rsidRPr="001D386D" w:rsidRDefault="00726A67" w:rsidP="00726A67">
            <w:pPr>
              <w:spacing w:line="0" w:lineRule="atLeast"/>
              <w:jc w:val="center"/>
              <w:rPr>
                <w:color w:val="000000" w:themeColor="text1"/>
                <w:szCs w:val="21"/>
              </w:rPr>
            </w:pPr>
            <w:r>
              <w:rPr>
                <w:color w:val="000000" w:themeColor="text1"/>
                <w:szCs w:val="21"/>
              </w:rPr>
              <w:t>0.0210</w:t>
            </w:r>
          </w:p>
        </w:tc>
      </w:tr>
      <w:tr w:rsidR="00726A67" w:rsidRPr="00B2735C" w14:paraId="01E592E4" w14:textId="77777777" w:rsidTr="00726A67">
        <w:trPr>
          <w:trHeight w:val="226"/>
        </w:trPr>
        <w:tc>
          <w:tcPr>
            <w:tcW w:w="1662" w:type="dxa"/>
            <w:gridSpan w:val="2"/>
            <w:tcBorders>
              <w:right w:val="single" w:sz="4" w:space="0" w:color="auto"/>
            </w:tcBorders>
            <w:hideMark/>
          </w:tcPr>
          <w:p w14:paraId="123ACDF2" w14:textId="77777777" w:rsidR="00726A67" w:rsidRPr="00B2735C" w:rsidRDefault="00726A67" w:rsidP="00726A67">
            <w:pPr>
              <w:jc w:val="center"/>
              <w:rPr>
                <w:color w:val="FF0000"/>
                <w:szCs w:val="21"/>
              </w:rPr>
            </w:pPr>
            <w:proofErr w:type="spellStart"/>
            <w:r w:rsidRPr="00324F9B">
              <w:rPr>
                <w:rFonts w:ascii="ＭＳ 明朝" w:eastAsia="ＭＳ 明朝" w:hAnsi="ＭＳ 明朝"/>
                <w:color w:val="000000" w:themeColor="text1"/>
                <w:sz w:val="18"/>
                <w:szCs w:val="18"/>
                <w:shd w:val="clear" w:color="auto" w:fill="FFFFFF"/>
              </w:rPr>
              <w:t>oilshock</w:t>
            </w:r>
            <w:proofErr w:type="spellEnd"/>
          </w:p>
        </w:tc>
        <w:tc>
          <w:tcPr>
            <w:tcW w:w="1453" w:type="dxa"/>
            <w:tcBorders>
              <w:left w:val="single" w:sz="4" w:space="0" w:color="auto"/>
            </w:tcBorders>
            <w:hideMark/>
          </w:tcPr>
          <w:p w14:paraId="74FB673F" w14:textId="77777777" w:rsidR="00726A67" w:rsidRDefault="00726A67" w:rsidP="00726A67">
            <w:pPr>
              <w:spacing w:line="0" w:lineRule="atLeast"/>
              <w:jc w:val="center"/>
              <w:rPr>
                <w:color w:val="000000" w:themeColor="text1"/>
                <w:szCs w:val="21"/>
              </w:rPr>
            </w:pPr>
            <w:r>
              <w:rPr>
                <w:color w:val="000000" w:themeColor="text1"/>
                <w:szCs w:val="21"/>
              </w:rPr>
              <w:t>0.0038</w:t>
            </w:r>
          </w:p>
          <w:p w14:paraId="6BB4CDC6" w14:textId="77777777" w:rsidR="00726A67" w:rsidRPr="001D386D" w:rsidRDefault="00726A67" w:rsidP="00726A67">
            <w:pPr>
              <w:spacing w:line="0" w:lineRule="atLeast"/>
              <w:jc w:val="center"/>
              <w:rPr>
                <w:color w:val="000000" w:themeColor="text1"/>
                <w:szCs w:val="21"/>
              </w:rPr>
            </w:pPr>
            <w:r>
              <w:rPr>
                <w:color w:val="000000" w:themeColor="text1"/>
                <w:szCs w:val="21"/>
              </w:rPr>
              <w:t>(0.0149)</w:t>
            </w:r>
          </w:p>
        </w:tc>
        <w:tc>
          <w:tcPr>
            <w:tcW w:w="927" w:type="dxa"/>
            <w:hideMark/>
          </w:tcPr>
          <w:p w14:paraId="124728BB" w14:textId="77777777" w:rsidR="00726A67" w:rsidRPr="001D386D" w:rsidRDefault="00726A67" w:rsidP="00726A67">
            <w:pPr>
              <w:spacing w:line="0" w:lineRule="atLeast"/>
              <w:jc w:val="center"/>
              <w:rPr>
                <w:color w:val="000000" w:themeColor="text1"/>
                <w:szCs w:val="21"/>
              </w:rPr>
            </w:pPr>
            <w:r>
              <w:rPr>
                <w:color w:val="000000" w:themeColor="text1"/>
                <w:szCs w:val="21"/>
              </w:rPr>
              <w:t>-0.0254</w:t>
            </w:r>
          </w:p>
        </w:tc>
        <w:tc>
          <w:tcPr>
            <w:tcW w:w="1275" w:type="dxa"/>
            <w:hideMark/>
          </w:tcPr>
          <w:p w14:paraId="4EF254E4" w14:textId="77777777" w:rsidR="00726A67" w:rsidRPr="001D386D" w:rsidRDefault="00726A67" w:rsidP="00726A67">
            <w:pPr>
              <w:spacing w:line="0" w:lineRule="atLeast"/>
              <w:jc w:val="center"/>
              <w:rPr>
                <w:color w:val="000000" w:themeColor="text1"/>
                <w:szCs w:val="21"/>
              </w:rPr>
            </w:pPr>
            <w:r>
              <w:rPr>
                <w:color w:val="000000" w:themeColor="text1"/>
                <w:szCs w:val="21"/>
              </w:rPr>
              <w:t>0.0330</w:t>
            </w:r>
          </w:p>
        </w:tc>
        <w:tc>
          <w:tcPr>
            <w:tcW w:w="1309" w:type="dxa"/>
          </w:tcPr>
          <w:p w14:paraId="41AF8931" w14:textId="77777777" w:rsidR="00726A67" w:rsidRDefault="00726A67" w:rsidP="00726A67">
            <w:pPr>
              <w:spacing w:line="0" w:lineRule="atLeast"/>
              <w:jc w:val="center"/>
              <w:rPr>
                <w:color w:val="000000" w:themeColor="text1"/>
                <w:szCs w:val="21"/>
              </w:rPr>
            </w:pPr>
            <w:r>
              <w:rPr>
                <w:color w:val="000000" w:themeColor="text1"/>
                <w:szCs w:val="21"/>
              </w:rPr>
              <w:t>-0.0106</w:t>
            </w:r>
          </w:p>
          <w:p w14:paraId="062EF8E4" w14:textId="77777777" w:rsidR="00726A67" w:rsidRPr="001D386D" w:rsidRDefault="00726A67" w:rsidP="00726A67">
            <w:pPr>
              <w:spacing w:line="0" w:lineRule="atLeast"/>
              <w:jc w:val="center"/>
              <w:rPr>
                <w:color w:val="000000" w:themeColor="text1"/>
                <w:szCs w:val="21"/>
              </w:rPr>
            </w:pPr>
            <w:r>
              <w:rPr>
                <w:color w:val="000000" w:themeColor="text1"/>
                <w:szCs w:val="21"/>
              </w:rPr>
              <w:t>(0.0173)</w:t>
            </w:r>
          </w:p>
        </w:tc>
        <w:tc>
          <w:tcPr>
            <w:tcW w:w="941" w:type="dxa"/>
          </w:tcPr>
          <w:p w14:paraId="530EFF5F" w14:textId="77777777" w:rsidR="00726A67" w:rsidRPr="001D386D" w:rsidRDefault="00726A67" w:rsidP="00726A67">
            <w:pPr>
              <w:spacing w:line="0" w:lineRule="atLeast"/>
              <w:jc w:val="center"/>
              <w:rPr>
                <w:color w:val="000000" w:themeColor="text1"/>
                <w:szCs w:val="21"/>
              </w:rPr>
            </w:pPr>
            <w:r>
              <w:rPr>
                <w:color w:val="000000" w:themeColor="text1"/>
                <w:szCs w:val="21"/>
              </w:rPr>
              <w:t>-0.0446</w:t>
            </w:r>
          </w:p>
        </w:tc>
        <w:tc>
          <w:tcPr>
            <w:tcW w:w="937" w:type="dxa"/>
          </w:tcPr>
          <w:p w14:paraId="0167B05D" w14:textId="77777777" w:rsidR="00726A67" w:rsidRPr="001D386D" w:rsidRDefault="00726A67" w:rsidP="00726A67">
            <w:pPr>
              <w:spacing w:line="0" w:lineRule="atLeast"/>
              <w:jc w:val="center"/>
              <w:rPr>
                <w:color w:val="000000" w:themeColor="text1"/>
                <w:szCs w:val="21"/>
              </w:rPr>
            </w:pPr>
            <w:r>
              <w:rPr>
                <w:color w:val="000000" w:themeColor="text1"/>
                <w:szCs w:val="21"/>
              </w:rPr>
              <w:t>0.0233</w:t>
            </w:r>
          </w:p>
        </w:tc>
      </w:tr>
      <w:tr w:rsidR="00726A67" w:rsidRPr="00B2735C" w14:paraId="4E0B265E" w14:textId="77777777" w:rsidTr="00726A67">
        <w:trPr>
          <w:trHeight w:val="707"/>
        </w:trPr>
        <w:tc>
          <w:tcPr>
            <w:tcW w:w="1662" w:type="dxa"/>
            <w:gridSpan w:val="2"/>
            <w:tcBorders>
              <w:right w:val="single" w:sz="4" w:space="0" w:color="auto"/>
            </w:tcBorders>
            <w:hideMark/>
          </w:tcPr>
          <w:p w14:paraId="5F40E3A8" w14:textId="77777777" w:rsidR="00726A67" w:rsidRPr="00B2735C" w:rsidRDefault="00726A67" w:rsidP="00726A67">
            <w:pPr>
              <w:jc w:val="center"/>
              <w:rPr>
                <w:color w:val="FF0000"/>
                <w:szCs w:val="21"/>
              </w:rPr>
            </w:pPr>
            <w:proofErr w:type="spellStart"/>
            <w:r w:rsidRPr="00324F9B">
              <w:rPr>
                <w:rFonts w:ascii="ＭＳ 明朝" w:eastAsia="ＭＳ 明朝" w:hAnsi="ＭＳ 明朝"/>
                <w:color w:val="000000" w:themeColor="text1"/>
                <w:sz w:val="18"/>
                <w:szCs w:val="18"/>
                <w:shd w:val="clear" w:color="auto" w:fill="FFFFFF"/>
              </w:rPr>
              <w:t>iraqwar</w:t>
            </w:r>
            <w:proofErr w:type="spellEnd"/>
          </w:p>
        </w:tc>
        <w:tc>
          <w:tcPr>
            <w:tcW w:w="1453" w:type="dxa"/>
            <w:tcBorders>
              <w:left w:val="single" w:sz="4" w:space="0" w:color="auto"/>
            </w:tcBorders>
            <w:hideMark/>
          </w:tcPr>
          <w:p w14:paraId="576A9D86" w14:textId="77777777" w:rsidR="00726A67" w:rsidRDefault="00726A67" w:rsidP="00726A67">
            <w:pPr>
              <w:spacing w:line="0" w:lineRule="atLeast"/>
              <w:jc w:val="center"/>
              <w:rPr>
                <w:color w:val="000000" w:themeColor="text1"/>
                <w:szCs w:val="21"/>
              </w:rPr>
            </w:pPr>
            <w:r>
              <w:rPr>
                <w:color w:val="000000" w:themeColor="text1"/>
                <w:szCs w:val="21"/>
              </w:rPr>
              <w:t>0.0119</w:t>
            </w:r>
          </w:p>
          <w:p w14:paraId="302A0814" w14:textId="77777777" w:rsidR="00726A67" w:rsidRPr="001D386D" w:rsidRDefault="00726A67" w:rsidP="00726A67">
            <w:pPr>
              <w:spacing w:line="0" w:lineRule="atLeast"/>
              <w:jc w:val="center"/>
              <w:rPr>
                <w:color w:val="000000" w:themeColor="text1"/>
                <w:szCs w:val="21"/>
              </w:rPr>
            </w:pPr>
            <w:r>
              <w:rPr>
                <w:color w:val="000000" w:themeColor="text1"/>
                <w:szCs w:val="21"/>
              </w:rPr>
              <w:t>(0.0095)</w:t>
            </w:r>
          </w:p>
        </w:tc>
        <w:tc>
          <w:tcPr>
            <w:tcW w:w="927" w:type="dxa"/>
            <w:hideMark/>
          </w:tcPr>
          <w:p w14:paraId="5784BE68" w14:textId="77777777" w:rsidR="00726A67" w:rsidRPr="001D386D" w:rsidRDefault="00726A67" w:rsidP="00726A67">
            <w:pPr>
              <w:spacing w:line="0" w:lineRule="atLeast"/>
              <w:jc w:val="center"/>
              <w:rPr>
                <w:color w:val="000000" w:themeColor="text1"/>
                <w:szCs w:val="21"/>
              </w:rPr>
            </w:pPr>
            <w:r>
              <w:rPr>
                <w:color w:val="000000" w:themeColor="text1"/>
                <w:szCs w:val="21"/>
              </w:rPr>
              <w:t>-0.0068</w:t>
            </w:r>
          </w:p>
        </w:tc>
        <w:tc>
          <w:tcPr>
            <w:tcW w:w="1275" w:type="dxa"/>
            <w:hideMark/>
          </w:tcPr>
          <w:p w14:paraId="1A897F24" w14:textId="77777777" w:rsidR="00726A67" w:rsidRPr="001D386D" w:rsidRDefault="00726A67" w:rsidP="00726A67">
            <w:pPr>
              <w:spacing w:line="0" w:lineRule="atLeast"/>
              <w:jc w:val="center"/>
              <w:rPr>
                <w:color w:val="000000" w:themeColor="text1"/>
                <w:szCs w:val="21"/>
              </w:rPr>
            </w:pPr>
            <w:r>
              <w:rPr>
                <w:color w:val="000000" w:themeColor="text1"/>
                <w:szCs w:val="21"/>
              </w:rPr>
              <w:t>0.0306</w:t>
            </w:r>
          </w:p>
        </w:tc>
        <w:tc>
          <w:tcPr>
            <w:tcW w:w="1309" w:type="dxa"/>
          </w:tcPr>
          <w:p w14:paraId="27DF3603" w14:textId="77777777" w:rsidR="00726A67" w:rsidRPr="001D386D" w:rsidRDefault="00726A67" w:rsidP="00726A67">
            <w:pPr>
              <w:spacing w:line="0" w:lineRule="atLeast"/>
              <w:jc w:val="center"/>
              <w:rPr>
                <w:color w:val="000000" w:themeColor="text1"/>
                <w:szCs w:val="21"/>
              </w:rPr>
            </w:pPr>
          </w:p>
        </w:tc>
        <w:tc>
          <w:tcPr>
            <w:tcW w:w="941" w:type="dxa"/>
          </w:tcPr>
          <w:p w14:paraId="3927D1D4" w14:textId="77777777" w:rsidR="00726A67" w:rsidRPr="001D386D" w:rsidRDefault="00726A67" w:rsidP="00726A67">
            <w:pPr>
              <w:spacing w:line="0" w:lineRule="atLeast"/>
              <w:jc w:val="center"/>
              <w:rPr>
                <w:color w:val="000000" w:themeColor="text1"/>
                <w:szCs w:val="21"/>
              </w:rPr>
            </w:pPr>
          </w:p>
        </w:tc>
        <w:tc>
          <w:tcPr>
            <w:tcW w:w="937" w:type="dxa"/>
          </w:tcPr>
          <w:p w14:paraId="47A98975" w14:textId="77777777" w:rsidR="00726A67" w:rsidRPr="001D386D" w:rsidRDefault="00726A67" w:rsidP="00726A67">
            <w:pPr>
              <w:spacing w:line="0" w:lineRule="atLeast"/>
              <w:jc w:val="center"/>
              <w:rPr>
                <w:color w:val="000000" w:themeColor="text1"/>
                <w:szCs w:val="21"/>
              </w:rPr>
            </w:pPr>
          </w:p>
        </w:tc>
      </w:tr>
      <w:tr w:rsidR="00726A67" w:rsidRPr="00B2735C" w14:paraId="4D000DA8" w14:textId="77777777" w:rsidTr="00726A67">
        <w:trPr>
          <w:trHeight w:val="707"/>
        </w:trPr>
        <w:tc>
          <w:tcPr>
            <w:tcW w:w="1662" w:type="dxa"/>
            <w:gridSpan w:val="2"/>
            <w:tcBorders>
              <w:right w:val="single" w:sz="4" w:space="0" w:color="auto"/>
            </w:tcBorders>
          </w:tcPr>
          <w:p w14:paraId="1CCBCE53" w14:textId="77777777" w:rsidR="00726A67" w:rsidRPr="00324F9B" w:rsidRDefault="00726A67" w:rsidP="00726A67">
            <w:pPr>
              <w:jc w:val="center"/>
              <w:rPr>
                <w:rFonts w:ascii="ＭＳ 明朝" w:eastAsia="ＭＳ 明朝" w:hAnsi="ＭＳ 明朝"/>
                <w:color w:val="000000" w:themeColor="text1"/>
                <w:sz w:val="18"/>
                <w:szCs w:val="18"/>
                <w:shd w:val="clear" w:color="auto" w:fill="FFFFFF"/>
              </w:rPr>
            </w:pPr>
            <w:r>
              <w:rPr>
                <w:rFonts w:ascii="ＭＳ 明朝" w:eastAsia="ＭＳ 明朝" w:hAnsi="ＭＳ 明朝"/>
                <w:color w:val="000000" w:themeColor="text1"/>
                <w:sz w:val="18"/>
                <w:szCs w:val="18"/>
                <w:shd w:val="clear" w:color="auto" w:fill="FFFFFF"/>
              </w:rPr>
              <w:t>D1.lrealoilprice</w:t>
            </w:r>
          </w:p>
        </w:tc>
        <w:tc>
          <w:tcPr>
            <w:tcW w:w="1453" w:type="dxa"/>
            <w:tcBorders>
              <w:left w:val="single" w:sz="4" w:space="0" w:color="auto"/>
            </w:tcBorders>
          </w:tcPr>
          <w:p w14:paraId="51B70863" w14:textId="77777777" w:rsidR="00726A67" w:rsidRDefault="00726A67" w:rsidP="00726A67">
            <w:pPr>
              <w:spacing w:line="0" w:lineRule="atLeast"/>
              <w:jc w:val="center"/>
              <w:rPr>
                <w:color w:val="000000" w:themeColor="text1"/>
                <w:szCs w:val="21"/>
              </w:rPr>
            </w:pPr>
            <w:r>
              <w:rPr>
                <w:color w:val="000000" w:themeColor="text1"/>
                <w:szCs w:val="21"/>
              </w:rPr>
              <w:t>0.0185</w:t>
            </w:r>
          </w:p>
          <w:p w14:paraId="75C9ADAE" w14:textId="77777777" w:rsidR="00726A67" w:rsidRDefault="00726A67" w:rsidP="00726A67">
            <w:pPr>
              <w:spacing w:line="0" w:lineRule="atLeast"/>
              <w:jc w:val="center"/>
              <w:rPr>
                <w:color w:val="000000" w:themeColor="text1"/>
                <w:szCs w:val="21"/>
              </w:rPr>
            </w:pPr>
            <w:r>
              <w:rPr>
                <w:color w:val="000000" w:themeColor="text1"/>
                <w:szCs w:val="21"/>
              </w:rPr>
              <w:t>(0.0094)***</w:t>
            </w:r>
          </w:p>
        </w:tc>
        <w:tc>
          <w:tcPr>
            <w:tcW w:w="927" w:type="dxa"/>
          </w:tcPr>
          <w:p w14:paraId="5518E5BE" w14:textId="77777777" w:rsidR="00726A67" w:rsidRDefault="00726A67" w:rsidP="00726A67">
            <w:pPr>
              <w:spacing w:line="0" w:lineRule="atLeast"/>
              <w:jc w:val="center"/>
              <w:rPr>
                <w:color w:val="000000" w:themeColor="text1"/>
                <w:szCs w:val="21"/>
              </w:rPr>
            </w:pPr>
            <w:r>
              <w:rPr>
                <w:color w:val="000000" w:themeColor="text1"/>
                <w:szCs w:val="21"/>
              </w:rPr>
              <w:t>0.0000</w:t>
            </w:r>
          </w:p>
        </w:tc>
        <w:tc>
          <w:tcPr>
            <w:tcW w:w="1275" w:type="dxa"/>
          </w:tcPr>
          <w:p w14:paraId="37329BD7" w14:textId="77777777" w:rsidR="00726A67" w:rsidRDefault="00726A67" w:rsidP="00726A67">
            <w:pPr>
              <w:spacing w:line="0" w:lineRule="atLeast"/>
              <w:jc w:val="center"/>
              <w:rPr>
                <w:color w:val="000000" w:themeColor="text1"/>
                <w:szCs w:val="21"/>
              </w:rPr>
            </w:pPr>
            <w:r>
              <w:rPr>
                <w:color w:val="000000" w:themeColor="text1"/>
                <w:szCs w:val="21"/>
              </w:rPr>
              <w:t>0.0369</w:t>
            </w:r>
          </w:p>
        </w:tc>
        <w:tc>
          <w:tcPr>
            <w:tcW w:w="1309" w:type="dxa"/>
          </w:tcPr>
          <w:p w14:paraId="2B915D93" w14:textId="77777777" w:rsidR="00726A67" w:rsidRDefault="00726A67" w:rsidP="00726A67">
            <w:pPr>
              <w:spacing w:line="0" w:lineRule="atLeast"/>
              <w:jc w:val="center"/>
              <w:rPr>
                <w:color w:val="000000" w:themeColor="text1"/>
                <w:szCs w:val="21"/>
              </w:rPr>
            </w:pPr>
            <w:r>
              <w:rPr>
                <w:color w:val="000000" w:themeColor="text1"/>
                <w:szCs w:val="21"/>
              </w:rPr>
              <w:t>0.0451</w:t>
            </w:r>
          </w:p>
          <w:p w14:paraId="02BF9B69" w14:textId="77777777" w:rsidR="00726A67" w:rsidRPr="001D386D" w:rsidRDefault="00726A67" w:rsidP="00726A67">
            <w:pPr>
              <w:spacing w:line="0" w:lineRule="atLeast"/>
              <w:jc w:val="center"/>
              <w:rPr>
                <w:color w:val="000000" w:themeColor="text1"/>
                <w:szCs w:val="21"/>
              </w:rPr>
            </w:pPr>
            <w:r>
              <w:rPr>
                <w:color w:val="000000" w:themeColor="text1"/>
                <w:szCs w:val="21"/>
              </w:rPr>
              <w:t>(0.0183)**</w:t>
            </w:r>
          </w:p>
        </w:tc>
        <w:tc>
          <w:tcPr>
            <w:tcW w:w="941" w:type="dxa"/>
          </w:tcPr>
          <w:p w14:paraId="0BB9B7CE" w14:textId="77777777" w:rsidR="00726A67" w:rsidRPr="001D386D" w:rsidRDefault="00726A67" w:rsidP="00726A67">
            <w:pPr>
              <w:spacing w:line="0" w:lineRule="atLeast"/>
              <w:jc w:val="center"/>
              <w:rPr>
                <w:color w:val="000000" w:themeColor="text1"/>
                <w:szCs w:val="21"/>
              </w:rPr>
            </w:pPr>
            <w:r>
              <w:rPr>
                <w:color w:val="000000" w:themeColor="text1"/>
                <w:szCs w:val="21"/>
              </w:rPr>
              <w:t>0.0092</w:t>
            </w:r>
          </w:p>
        </w:tc>
        <w:tc>
          <w:tcPr>
            <w:tcW w:w="937" w:type="dxa"/>
          </w:tcPr>
          <w:p w14:paraId="6ECD1734" w14:textId="77777777" w:rsidR="00726A67" w:rsidRPr="001D386D" w:rsidRDefault="00726A67" w:rsidP="00726A67">
            <w:pPr>
              <w:spacing w:line="0" w:lineRule="atLeast"/>
              <w:jc w:val="center"/>
              <w:rPr>
                <w:color w:val="000000" w:themeColor="text1"/>
                <w:szCs w:val="21"/>
              </w:rPr>
            </w:pPr>
            <w:r>
              <w:rPr>
                <w:color w:val="000000" w:themeColor="text1"/>
                <w:szCs w:val="21"/>
              </w:rPr>
              <w:t>0.0809</w:t>
            </w:r>
          </w:p>
        </w:tc>
      </w:tr>
      <w:tr w:rsidR="00726A67" w:rsidRPr="00B2735C" w14:paraId="0081B93F" w14:textId="77777777" w:rsidTr="00726A67">
        <w:trPr>
          <w:trHeight w:val="87"/>
        </w:trPr>
        <w:tc>
          <w:tcPr>
            <w:tcW w:w="1662" w:type="dxa"/>
            <w:gridSpan w:val="2"/>
            <w:tcBorders>
              <w:top w:val="nil"/>
              <w:left w:val="nil"/>
              <w:bottom w:val="single" w:sz="4" w:space="0" w:color="auto"/>
              <w:right w:val="single" w:sz="4" w:space="0" w:color="auto"/>
            </w:tcBorders>
            <w:hideMark/>
          </w:tcPr>
          <w:p w14:paraId="1618C69E" w14:textId="77777777" w:rsidR="00726A67" w:rsidRPr="00821AE4" w:rsidRDefault="00726A67" w:rsidP="00726A67">
            <w:pPr>
              <w:jc w:val="center"/>
              <w:rPr>
                <w:color w:val="FF0000"/>
                <w:szCs w:val="21"/>
              </w:rPr>
            </w:pPr>
            <w:r w:rsidRPr="00821AE4">
              <w:rPr>
                <w:rFonts w:ascii="ＭＳ 明朝" w:eastAsia="ＭＳ 明朝" w:hAnsi="ＭＳ 明朝" w:hint="eastAsia"/>
                <w:bCs/>
                <w:color w:val="000000" w:themeColor="text1"/>
                <w:sz w:val="18"/>
                <w:szCs w:val="18"/>
                <w:shd w:val="clear" w:color="auto" w:fill="FFFFFF"/>
              </w:rPr>
              <w:t>定数項</w:t>
            </w:r>
          </w:p>
        </w:tc>
        <w:tc>
          <w:tcPr>
            <w:tcW w:w="1453" w:type="dxa"/>
            <w:tcBorders>
              <w:top w:val="nil"/>
              <w:left w:val="single" w:sz="4" w:space="0" w:color="auto"/>
              <w:bottom w:val="single" w:sz="4" w:space="0" w:color="auto"/>
              <w:right w:val="nil"/>
            </w:tcBorders>
            <w:hideMark/>
          </w:tcPr>
          <w:p w14:paraId="4F88540B" w14:textId="77777777" w:rsidR="00726A67" w:rsidRDefault="00726A67" w:rsidP="00726A67">
            <w:pPr>
              <w:spacing w:line="0" w:lineRule="atLeast"/>
              <w:jc w:val="center"/>
              <w:rPr>
                <w:color w:val="000000" w:themeColor="text1"/>
                <w:szCs w:val="21"/>
              </w:rPr>
            </w:pPr>
            <w:r>
              <w:rPr>
                <w:color w:val="000000" w:themeColor="text1"/>
                <w:szCs w:val="21"/>
              </w:rPr>
              <w:t>0.0907</w:t>
            </w:r>
          </w:p>
          <w:p w14:paraId="3C0D1020" w14:textId="77777777" w:rsidR="00726A67" w:rsidRPr="001D386D" w:rsidRDefault="00726A67" w:rsidP="00726A67">
            <w:pPr>
              <w:spacing w:line="0" w:lineRule="atLeast"/>
              <w:jc w:val="center"/>
              <w:rPr>
                <w:color w:val="000000" w:themeColor="text1"/>
                <w:szCs w:val="21"/>
              </w:rPr>
            </w:pPr>
            <w:r>
              <w:rPr>
                <w:color w:val="000000" w:themeColor="text1"/>
                <w:szCs w:val="21"/>
              </w:rPr>
              <w:t>(0.0259)***</w:t>
            </w:r>
          </w:p>
        </w:tc>
        <w:tc>
          <w:tcPr>
            <w:tcW w:w="927" w:type="dxa"/>
            <w:tcBorders>
              <w:top w:val="nil"/>
              <w:left w:val="nil"/>
              <w:bottom w:val="single" w:sz="4" w:space="0" w:color="auto"/>
              <w:right w:val="nil"/>
            </w:tcBorders>
            <w:hideMark/>
          </w:tcPr>
          <w:p w14:paraId="5C306534" w14:textId="77777777" w:rsidR="00726A67" w:rsidRPr="001D386D" w:rsidRDefault="00726A67" w:rsidP="00726A67">
            <w:pPr>
              <w:spacing w:line="0" w:lineRule="atLeast"/>
              <w:jc w:val="center"/>
              <w:rPr>
                <w:color w:val="000000" w:themeColor="text1"/>
                <w:szCs w:val="21"/>
              </w:rPr>
            </w:pPr>
            <w:r>
              <w:rPr>
                <w:color w:val="000000" w:themeColor="text1"/>
                <w:szCs w:val="21"/>
              </w:rPr>
              <w:t>0.0400</w:t>
            </w:r>
          </w:p>
        </w:tc>
        <w:tc>
          <w:tcPr>
            <w:tcW w:w="1275" w:type="dxa"/>
            <w:tcBorders>
              <w:top w:val="nil"/>
              <w:left w:val="nil"/>
              <w:bottom w:val="single" w:sz="4" w:space="0" w:color="auto"/>
              <w:right w:val="nil"/>
            </w:tcBorders>
            <w:hideMark/>
          </w:tcPr>
          <w:p w14:paraId="47A763F7" w14:textId="77777777" w:rsidR="00726A67" w:rsidRPr="001D386D" w:rsidRDefault="00726A67" w:rsidP="00726A67">
            <w:pPr>
              <w:spacing w:line="0" w:lineRule="atLeast"/>
              <w:jc w:val="center"/>
              <w:rPr>
                <w:color w:val="000000" w:themeColor="text1"/>
                <w:szCs w:val="21"/>
              </w:rPr>
            </w:pPr>
            <w:r>
              <w:rPr>
                <w:color w:val="000000" w:themeColor="text1"/>
                <w:szCs w:val="21"/>
              </w:rPr>
              <w:t>0.1415</w:t>
            </w:r>
          </w:p>
        </w:tc>
        <w:tc>
          <w:tcPr>
            <w:tcW w:w="1309" w:type="dxa"/>
            <w:tcBorders>
              <w:top w:val="nil"/>
              <w:left w:val="nil"/>
              <w:bottom w:val="single" w:sz="4" w:space="0" w:color="auto"/>
              <w:right w:val="nil"/>
            </w:tcBorders>
          </w:tcPr>
          <w:p w14:paraId="7BB2E008" w14:textId="77777777" w:rsidR="00726A67" w:rsidRDefault="00726A67" w:rsidP="00726A67">
            <w:pPr>
              <w:spacing w:line="0" w:lineRule="atLeast"/>
              <w:jc w:val="center"/>
              <w:rPr>
                <w:color w:val="000000" w:themeColor="text1"/>
                <w:szCs w:val="21"/>
              </w:rPr>
            </w:pPr>
            <w:r>
              <w:rPr>
                <w:color w:val="000000" w:themeColor="text1"/>
                <w:szCs w:val="21"/>
              </w:rPr>
              <w:t>0.0303</w:t>
            </w:r>
          </w:p>
          <w:p w14:paraId="184982ED" w14:textId="77777777" w:rsidR="00726A67" w:rsidRPr="001D386D" w:rsidRDefault="00726A67" w:rsidP="00726A67">
            <w:pPr>
              <w:spacing w:line="0" w:lineRule="atLeast"/>
              <w:jc w:val="center"/>
              <w:rPr>
                <w:color w:val="000000" w:themeColor="text1"/>
                <w:szCs w:val="21"/>
              </w:rPr>
            </w:pPr>
            <w:r>
              <w:rPr>
                <w:color w:val="000000" w:themeColor="text1"/>
                <w:szCs w:val="21"/>
              </w:rPr>
              <w:t>(0.0201)</w:t>
            </w:r>
          </w:p>
        </w:tc>
        <w:tc>
          <w:tcPr>
            <w:tcW w:w="941" w:type="dxa"/>
            <w:tcBorders>
              <w:top w:val="nil"/>
              <w:left w:val="nil"/>
              <w:bottom w:val="single" w:sz="4" w:space="0" w:color="auto"/>
              <w:right w:val="nil"/>
            </w:tcBorders>
          </w:tcPr>
          <w:p w14:paraId="573086DA" w14:textId="77777777" w:rsidR="00726A67" w:rsidRPr="001D386D" w:rsidRDefault="00726A67" w:rsidP="00726A67">
            <w:pPr>
              <w:spacing w:line="0" w:lineRule="atLeast"/>
              <w:jc w:val="center"/>
              <w:rPr>
                <w:color w:val="000000" w:themeColor="text1"/>
                <w:szCs w:val="21"/>
              </w:rPr>
            </w:pPr>
            <w:r>
              <w:rPr>
                <w:color w:val="000000" w:themeColor="text1"/>
                <w:szCs w:val="21"/>
              </w:rPr>
              <w:t>-0.0090</w:t>
            </w:r>
          </w:p>
        </w:tc>
        <w:tc>
          <w:tcPr>
            <w:tcW w:w="937" w:type="dxa"/>
            <w:tcBorders>
              <w:top w:val="nil"/>
              <w:left w:val="nil"/>
              <w:bottom w:val="single" w:sz="4" w:space="0" w:color="auto"/>
              <w:right w:val="nil"/>
            </w:tcBorders>
          </w:tcPr>
          <w:p w14:paraId="7BB24158" w14:textId="77777777" w:rsidR="00726A67" w:rsidRPr="001D386D" w:rsidRDefault="00726A67" w:rsidP="00726A67">
            <w:pPr>
              <w:spacing w:line="0" w:lineRule="atLeast"/>
              <w:jc w:val="center"/>
              <w:rPr>
                <w:color w:val="000000" w:themeColor="text1"/>
                <w:szCs w:val="21"/>
              </w:rPr>
            </w:pPr>
            <w:r>
              <w:rPr>
                <w:color w:val="000000" w:themeColor="text1"/>
                <w:szCs w:val="21"/>
              </w:rPr>
              <w:t>0.0697</w:t>
            </w:r>
          </w:p>
        </w:tc>
      </w:tr>
    </w:tbl>
    <w:bookmarkEnd w:id="25"/>
    <w:p w14:paraId="0BAC4523" w14:textId="77777777" w:rsidR="00726A67" w:rsidRPr="003043AD" w:rsidRDefault="00726A67" w:rsidP="00726A67">
      <w:pPr>
        <w:rPr>
          <w:rFonts w:eastAsiaTheme="minorHAnsi"/>
          <w:color w:val="000000" w:themeColor="text1"/>
          <w:szCs w:val="21"/>
        </w:rPr>
      </w:pPr>
      <w:r w:rsidRPr="003043AD">
        <w:rPr>
          <w:rFonts w:eastAsiaTheme="minorHAnsi"/>
          <w:color w:val="000000" w:themeColor="text1"/>
          <w:szCs w:val="21"/>
        </w:rPr>
        <w:t>Ps:</w:t>
      </w:r>
      <w:r w:rsidRPr="003043AD">
        <w:rPr>
          <w:rFonts w:eastAsiaTheme="minorHAnsi"/>
          <w:color w:val="000000" w:themeColor="text1"/>
        </w:rPr>
        <w:t xml:space="preserve"> </w:t>
      </w:r>
      <w:r w:rsidRPr="003043AD">
        <w:rPr>
          <w:rFonts w:eastAsiaTheme="minorHAnsi"/>
          <w:color w:val="000000" w:themeColor="text1"/>
          <w:szCs w:val="21"/>
        </w:rPr>
        <w:t xml:space="preserve">*** </w:t>
      </w:r>
      <w:r>
        <w:rPr>
          <w:rFonts w:eastAsiaTheme="minorHAnsi"/>
          <w:color w:val="000000" w:themeColor="text1"/>
          <w:szCs w:val="21"/>
        </w:rPr>
        <w:t>:</w:t>
      </w:r>
      <w:r w:rsidRPr="003043AD">
        <w:rPr>
          <w:rFonts w:eastAsiaTheme="minorHAnsi"/>
          <w:color w:val="000000" w:themeColor="text1"/>
          <w:szCs w:val="21"/>
        </w:rPr>
        <w:t>p &lt; 0.0</w:t>
      </w:r>
      <w:r>
        <w:rPr>
          <w:rFonts w:eastAsiaTheme="minorHAnsi"/>
          <w:color w:val="000000" w:themeColor="text1"/>
          <w:szCs w:val="21"/>
        </w:rPr>
        <w:t>1, **: p &lt; 0.05</w:t>
      </w:r>
      <w:r w:rsidRPr="003043AD">
        <w:rPr>
          <w:rFonts w:eastAsiaTheme="minorHAnsi"/>
          <w:color w:val="000000" w:themeColor="text1"/>
          <w:szCs w:val="21"/>
        </w:rPr>
        <w:t xml:space="preserve">, * </w:t>
      </w:r>
      <w:r>
        <w:rPr>
          <w:rFonts w:eastAsiaTheme="minorHAnsi"/>
          <w:color w:val="000000" w:themeColor="text1"/>
          <w:szCs w:val="21"/>
        </w:rPr>
        <w:t>:</w:t>
      </w:r>
      <w:r w:rsidRPr="003043AD">
        <w:rPr>
          <w:rFonts w:eastAsiaTheme="minorHAnsi"/>
          <w:color w:val="000000" w:themeColor="text1"/>
          <w:szCs w:val="21"/>
        </w:rPr>
        <w:t>p &lt; 0.</w:t>
      </w:r>
      <w:r>
        <w:rPr>
          <w:rFonts w:eastAsiaTheme="minorHAnsi"/>
          <w:color w:val="000000" w:themeColor="text1"/>
          <w:szCs w:val="21"/>
        </w:rPr>
        <w:t>1</w:t>
      </w:r>
    </w:p>
    <w:p w14:paraId="6AE4F960" w14:textId="77777777" w:rsidR="00726A67" w:rsidRDefault="00726A67" w:rsidP="00726A67">
      <w:pPr>
        <w:jc w:val="center"/>
        <w:rPr>
          <w:rFonts w:eastAsiaTheme="minorHAnsi"/>
          <w:color w:val="000000" w:themeColor="text1"/>
          <w:szCs w:val="21"/>
        </w:rPr>
      </w:pPr>
      <w:r>
        <w:t>Table 5</w:t>
      </w:r>
      <w:r w:rsidRPr="003043AD">
        <w:rPr>
          <w:rFonts w:eastAsiaTheme="minorHAnsi" w:hint="eastAsia"/>
          <w:b/>
          <w:color w:val="000000" w:themeColor="text1"/>
          <w:szCs w:val="21"/>
        </w:rPr>
        <w:t>ガソリン</w:t>
      </w:r>
      <w:r>
        <w:rPr>
          <w:rFonts w:eastAsiaTheme="minorHAnsi" w:hint="eastAsia"/>
          <w:b/>
          <w:color w:val="000000" w:themeColor="text1"/>
          <w:szCs w:val="21"/>
        </w:rPr>
        <w:t>国内販売量</w:t>
      </w:r>
      <w:proofErr w:type="spellStart"/>
      <w:r w:rsidRPr="003043AD">
        <w:rPr>
          <w:rFonts w:eastAsiaTheme="minorHAnsi"/>
          <w:b/>
          <w:color w:val="000000" w:themeColor="text1"/>
          <w:szCs w:val="21"/>
        </w:rPr>
        <w:t>qgaso</w:t>
      </w:r>
      <w:proofErr w:type="spellEnd"/>
      <w:r w:rsidRPr="003043AD">
        <w:rPr>
          <w:rFonts w:eastAsiaTheme="minorHAnsi" w:hint="eastAsia"/>
          <w:b/>
          <w:color w:val="000000" w:themeColor="text1"/>
          <w:szCs w:val="21"/>
        </w:rPr>
        <w:t>へ</w:t>
      </w:r>
      <w:r w:rsidRPr="003043AD">
        <w:rPr>
          <w:rFonts w:eastAsiaTheme="minorHAnsi"/>
          <w:b/>
          <w:color w:val="000000" w:themeColor="text1"/>
          <w:szCs w:val="21"/>
        </w:rPr>
        <w:t>のVAR</w:t>
      </w:r>
      <w:r w:rsidRPr="003043AD">
        <w:rPr>
          <w:rFonts w:eastAsiaTheme="minorHAnsi" w:hint="eastAsia"/>
          <w:b/>
          <w:color w:val="000000" w:themeColor="text1"/>
          <w:szCs w:val="21"/>
        </w:rPr>
        <w:t>結果</w:t>
      </w:r>
    </w:p>
    <w:p w14:paraId="6D3FBCEA" w14:textId="77777777" w:rsidR="00726A67" w:rsidRPr="00E466C1" w:rsidRDefault="00726A67" w:rsidP="00726A67">
      <w:pPr>
        <w:jc w:val="center"/>
        <w:rPr>
          <w:rFonts w:eastAsiaTheme="minorHAnsi"/>
          <w:color w:val="000000" w:themeColor="text1"/>
          <w:szCs w:val="21"/>
        </w:rPr>
      </w:pPr>
    </w:p>
    <w:p w14:paraId="413F47EE" w14:textId="77777777" w:rsidR="00726A67" w:rsidRPr="007D1A57" w:rsidRDefault="00726A67" w:rsidP="00726A67">
      <w:pPr>
        <w:rPr>
          <w:rFonts w:eastAsiaTheme="minorHAnsi"/>
          <w:b/>
          <w:color w:val="FF0000"/>
          <w:szCs w:val="21"/>
        </w:rPr>
      </w:pPr>
      <w:r w:rsidRPr="003043AD">
        <w:rPr>
          <w:rFonts w:eastAsiaTheme="minorHAnsi" w:hint="eastAsia"/>
          <w:b/>
          <w:color w:val="FF0000"/>
          <w:szCs w:val="21"/>
        </w:rPr>
        <w:t xml:space="preserve">　</w:t>
      </w:r>
      <w:r w:rsidRPr="007D1A57">
        <w:rPr>
          <w:rFonts w:ascii="ＭＳ 明朝" w:eastAsia="ＭＳ 明朝" w:hAnsi="ＭＳ 明朝" w:hint="eastAsia"/>
          <w:color w:val="000000" w:themeColor="text1"/>
          <w:szCs w:val="21"/>
        </w:rPr>
        <w:t>まず全期間</w:t>
      </w:r>
      <w:r w:rsidRPr="00A209A4">
        <w:rPr>
          <w:rFonts w:ascii="ＭＳ 明朝" w:eastAsia="ＭＳ 明朝" w:hAnsi="ＭＳ 明朝"/>
          <w:color w:val="000000" w:themeColor="text1"/>
          <w:szCs w:val="21"/>
        </w:rPr>
        <w:t>(</w:t>
      </w:r>
      <w:r w:rsidRPr="00A209A4">
        <w:rPr>
          <w:rFonts w:ascii="ＭＳ 明朝" w:eastAsia="ＭＳ 明朝" w:hAnsi="ＭＳ 明朝" w:hint="eastAsia"/>
          <w:color w:val="000000" w:themeColor="text1"/>
          <w:szCs w:val="21"/>
        </w:rPr>
        <w:t>1974-2016</w:t>
      </w:r>
      <w:r>
        <w:rPr>
          <w:rFonts w:ascii="ＭＳ 明朝" w:eastAsia="ＭＳ 明朝" w:hAnsi="ＭＳ 明朝" w:hint="eastAsia"/>
          <w:color w:val="000000" w:themeColor="text1"/>
          <w:szCs w:val="21"/>
        </w:rPr>
        <w:t>)のデータセットを見ると、</w:t>
      </w:r>
      <w:r>
        <w:rPr>
          <w:rFonts w:ascii="ＭＳ 明朝" w:eastAsia="ＭＳ 明朝" w:hAnsi="ＭＳ 明朝"/>
          <w:color w:val="000000" w:themeColor="text1"/>
          <w:szCs w:val="21"/>
        </w:rPr>
        <w:t>Figure10</w:t>
      </w:r>
      <w:r w:rsidRPr="00EB0A45">
        <w:rPr>
          <w:rFonts w:ascii="ＭＳ 明朝" w:eastAsia="ＭＳ 明朝" w:hAnsi="ＭＳ 明朝" w:hint="eastAsia"/>
          <w:color w:val="000000" w:themeColor="text1"/>
          <w:szCs w:val="21"/>
        </w:rPr>
        <w:t>にあるように</w:t>
      </w:r>
      <w:r>
        <w:rPr>
          <w:rFonts w:ascii="ＭＳ 明朝" w:eastAsia="ＭＳ 明朝" w:hAnsi="ＭＳ 明朝" w:hint="eastAsia"/>
          <w:color w:val="000000" w:themeColor="text1"/>
          <w:szCs w:val="21"/>
        </w:rPr>
        <w:t>、第</w:t>
      </w:r>
      <w:r>
        <w:rPr>
          <w:rFonts w:ascii="ＭＳ 明朝" w:eastAsia="ＭＳ 明朝" w:hAnsi="ＭＳ 明朝"/>
          <w:color w:val="000000" w:themeColor="text1"/>
          <w:szCs w:val="21"/>
        </w:rPr>
        <w:t>0</w:t>
      </w:r>
      <w:r>
        <w:rPr>
          <w:rFonts w:ascii="ＭＳ 明朝" w:eastAsia="ＭＳ 明朝" w:hAnsi="ＭＳ 明朝" w:hint="eastAsia"/>
          <w:color w:val="000000" w:themeColor="text1"/>
          <w:szCs w:val="21"/>
        </w:rPr>
        <w:t>期で</w:t>
      </w:r>
      <w:r w:rsidRPr="00A209A4">
        <w:rPr>
          <w:rFonts w:ascii="ＭＳ 明朝" w:eastAsia="ＭＳ 明朝" w:hAnsi="ＭＳ 明朝" w:hint="eastAsia"/>
          <w:color w:val="000000" w:themeColor="text1"/>
          <w:szCs w:val="21"/>
        </w:rPr>
        <w:t>ガソリンの全国平均</w:t>
      </w:r>
      <w:r>
        <w:rPr>
          <w:rFonts w:ascii="ＭＳ 明朝" w:eastAsia="ＭＳ 明朝" w:hAnsi="ＭＳ 明朝" w:hint="eastAsia"/>
          <w:color w:val="000000" w:themeColor="text1"/>
          <w:szCs w:val="21"/>
        </w:rPr>
        <w:t>実質</w:t>
      </w:r>
      <w:r w:rsidRPr="00A209A4">
        <w:rPr>
          <w:rFonts w:ascii="ＭＳ 明朝" w:eastAsia="ＭＳ 明朝" w:hAnsi="ＭＳ 明朝" w:hint="eastAsia"/>
          <w:color w:val="000000" w:themeColor="text1"/>
          <w:szCs w:val="21"/>
        </w:rPr>
        <w:t>小売価格</w:t>
      </w:r>
      <w:r w:rsidRPr="00EB0A45">
        <w:rPr>
          <w:rFonts w:ascii="ＭＳ 明朝" w:eastAsia="ＭＳ 明朝" w:hAnsi="ＭＳ 明朝" w:hint="eastAsia"/>
          <w:color w:val="000000" w:themeColor="text1"/>
          <w:szCs w:val="21"/>
        </w:rPr>
        <w:t>（自然対数を取った上、</w:t>
      </w:r>
      <w:r w:rsidRPr="00EB0A45">
        <w:rPr>
          <w:rFonts w:ascii="ＭＳ 明朝" w:eastAsia="ＭＳ 明朝" w:hAnsi="ＭＳ 明朝"/>
          <w:color w:val="000000" w:themeColor="text1"/>
          <w:szCs w:val="21"/>
        </w:rPr>
        <w:t>短期の一過性の影響を除くため</w:t>
      </w:r>
      <w:r w:rsidRPr="00EB0A45">
        <w:rPr>
          <w:rFonts w:ascii="ＭＳ 明朝" w:eastAsia="ＭＳ 明朝" w:hAnsi="ＭＳ 明朝" w:hint="eastAsia"/>
          <w:color w:val="000000" w:themeColor="text1"/>
          <w:szCs w:val="21"/>
        </w:rPr>
        <w:t>に、</w:t>
      </w:r>
      <w:r w:rsidRPr="00EB0A45">
        <w:rPr>
          <w:rFonts w:ascii="ＭＳ 明朝" w:eastAsia="ＭＳ 明朝" w:hAnsi="ＭＳ 明朝"/>
          <w:color w:val="000000" w:themeColor="text1"/>
          <w:szCs w:val="21"/>
        </w:rPr>
        <w:t>1階階差</w:t>
      </w:r>
      <w:r>
        <w:rPr>
          <w:rFonts w:ascii="ＭＳ 明朝" w:eastAsia="ＭＳ 明朝" w:hAnsi="ＭＳ 明朝" w:hint="eastAsia"/>
          <w:color w:val="000000" w:themeColor="text1"/>
          <w:szCs w:val="21"/>
        </w:rPr>
        <w:t>をとったもの</w:t>
      </w:r>
      <w:r w:rsidRPr="00EB0A45">
        <w:rPr>
          <w:rFonts w:ascii="ＭＳ 明朝" w:eastAsia="ＭＳ 明朝" w:hAnsi="ＭＳ 明朝"/>
          <w:color w:val="000000" w:themeColor="text1"/>
          <w:szCs w:val="21"/>
        </w:rPr>
        <w:t>）に対し</w:t>
      </w:r>
      <w:r w:rsidRPr="00EB0A45">
        <w:rPr>
          <w:rFonts w:ascii="ＭＳ 明朝" w:eastAsia="ＭＳ 明朝" w:hAnsi="ＭＳ 明朝" w:hint="eastAsia"/>
          <w:color w:val="000000" w:themeColor="text1"/>
          <w:szCs w:val="21"/>
        </w:rPr>
        <w:t>て</w:t>
      </w:r>
      <w:r>
        <w:rPr>
          <w:rFonts w:ascii="ＭＳ 明朝" w:eastAsia="ＭＳ 明朝" w:hAnsi="ＭＳ 明朝" w:hint="eastAsia"/>
          <w:color w:val="000000" w:themeColor="text1"/>
          <w:szCs w:val="21"/>
        </w:rPr>
        <w:t>１標準偏差のインパルスを与えた場合、ガソリン価格（の増加率）が第１期（</w:t>
      </w:r>
      <w:r>
        <w:rPr>
          <w:rFonts w:ascii="ＭＳ 明朝" w:eastAsia="ＭＳ 明朝" w:hAnsi="ＭＳ 明朝"/>
          <w:color w:val="000000" w:themeColor="text1"/>
          <w:szCs w:val="21"/>
        </w:rPr>
        <w:t>1</w:t>
      </w:r>
      <w:r>
        <w:rPr>
          <w:rFonts w:ascii="ＭＳ 明朝" w:eastAsia="ＭＳ 明朝" w:hAnsi="ＭＳ 明朝" w:hint="eastAsia"/>
          <w:color w:val="000000" w:themeColor="text1"/>
          <w:szCs w:val="21"/>
        </w:rPr>
        <w:t>年）の時点まで増加する傾向となり、その後、第２期</w:t>
      </w:r>
      <w:r>
        <w:rPr>
          <w:rFonts w:ascii="ＭＳ 明朝" w:eastAsia="ＭＳ 明朝" w:hAnsi="ＭＳ 明朝"/>
          <w:color w:val="000000" w:themeColor="text1"/>
          <w:szCs w:val="21"/>
        </w:rPr>
        <w:t>(</w:t>
      </w:r>
      <w:r>
        <w:rPr>
          <w:rFonts w:ascii="ＭＳ 明朝" w:eastAsia="ＭＳ 明朝" w:hAnsi="ＭＳ 明朝" w:hint="eastAsia"/>
          <w:color w:val="000000" w:themeColor="text1"/>
          <w:szCs w:val="21"/>
        </w:rPr>
        <w:t>２年</w:t>
      </w:r>
      <w:r>
        <w:rPr>
          <w:rFonts w:ascii="ＭＳ 明朝" w:eastAsia="ＭＳ 明朝" w:hAnsi="ＭＳ 明朝"/>
          <w:color w:val="000000" w:themeColor="text1"/>
          <w:szCs w:val="21"/>
        </w:rPr>
        <w:t>)</w:t>
      </w:r>
      <w:r>
        <w:rPr>
          <w:rFonts w:ascii="ＭＳ 明朝" w:eastAsia="ＭＳ 明朝" w:hAnsi="ＭＳ 明朝" w:hint="eastAsia"/>
          <w:color w:val="000000" w:themeColor="text1"/>
          <w:szCs w:val="21"/>
        </w:rPr>
        <w:t>で最大</w:t>
      </w:r>
      <w:r>
        <w:rPr>
          <w:rFonts w:ascii="ＭＳ 明朝" w:eastAsia="ＭＳ 明朝" w:hAnsi="ＭＳ 明朝"/>
          <w:color w:val="000000" w:themeColor="text1"/>
          <w:szCs w:val="21"/>
        </w:rPr>
        <w:t>-0.03</w:t>
      </w:r>
      <w:r>
        <w:rPr>
          <w:rFonts w:ascii="ＭＳ 明朝" w:eastAsia="ＭＳ 明朝" w:hAnsi="ＭＳ 明朝" w:hint="eastAsia"/>
          <w:color w:val="000000" w:themeColor="text1"/>
          <w:szCs w:val="21"/>
        </w:rPr>
        <w:lastRenderedPageBreak/>
        <w:t>に到達してから横のゼロ軸を巡って上下振動していく傾向が示されている。最終的に、ガソリン価格（の増加率）は第６期（６年）においてゼロに収束していくことが図表から読み取れる。</w:t>
      </w:r>
    </w:p>
    <w:p w14:paraId="33B75718" w14:textId="1977D651" w:rsidR="00726A67" w:rsidRPr="008B6067" w:rsidRDefault="00726A67" w:rsidP="00726A67">
      <w:pP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対して、</w:t>
      </w:r>
      <w:r w:rsidRPr="00EB0A45">
        <w:rPr>
          <w:rFonts w:ascii="ＭＳ 明朝" w:eastAsia="ＭＳ 明朝" w:hAnsi="ＭＳ 明朝" w:hint="eastAsia"/>
          <w:color w:val="000000" w:themeColor="text1"/>
          <w:szCs w:val="21"/>
        </w:rPr>
        <w:t>国内消費者向けのガソリン販売数量（</w:t>
      </w:r>
      <w:r>
        <w:rPr>
          <w:rFonts w:ascii="ＭＳ 明朝" w:eastAsia="ＭＳ 明朝" w:hAnsi="ＭＳ 明朝" w:hint="eastAsia"/>
          <w:color w:val="000000" w:themeColor="text1"/>
          <w:szCs w:val="21"/>
        </w:rPr>
        <w:t>同様、</w:t>
      </w:r>
      <w:r w:rsidRPr="00EB0A45">
        <w:rPr>
          <w:rFonts w:ascii="ＭＳ 明朝" w:eastAsia="ＭＳ 明朝" w:hAnsi="ＭＳ 明朝" w:hint="eastAsia"/>
          <w:color w:val="000000" w:themeColor="text1"/>
          <w:szCs w:val="21"/>
        </w:rPr>
        <w:t>自然対数を取った上、</w:t>
      </w:r>
      <w:r w:rsidRPr="00EB0A45">
        <w:rPr>
          <w:rFonts w:ascii="ＭＳ 明朝" w:eastAsia="ＭＳ 明朝" w:hAnsi="ＭＳ 明朝"/>
          <w:color w:val="000000" w:themeColor="text1"/>
          <w:szCs w:val="21"/>
        </w:rPr>
        <w:t>短期の一過性の影響を除くため</w:t>
      </w:r>
      <w:r w:rsidRPr="00EB0A45">
        <w:rPr>
          <w:rFonts w:ascii="ＭＳ 明朝" w:eastAsia="ＭＳ 明朝" w:hAnsi="ＭＳ 明朝" w:hint="eastAsia"/>
          <w:color w:val="000000" w:themeColor="text1"/>
          <w:szCs w:val="21"/>
        </w:rPr>
        <w:t>に、</w:t>
      </w:r>
      <w:r w:rsidRPr="00EB0A45">
        <w:rPr>
          <w:rFonts w:ascii="ＭＳ 明朝" w:eastAsia="ＭＳ 明朝" w:hAnsi="ＭＳ 明朝"/>
          <w:color w:val="000000" w:themeColor="text1"/>
          <w:szCs w:val="21"/>
        </w:rPr>
        <w:t>1階階差</w:t>
      </w:r>
      <w:r>
        <w:rPr>
          <w:rFonts w:ascii="ＭＳ 明朝" w:eastAsia="ＭＳ 明朝" w:hAnsi="ＭＳ 明朝" w:hint="eastAsia"/>
          <w:color w:val="000000" w:themeColor="text1"/>
          <w:szCs w:val="21"/>
        </w:rPr>
        <w:t>をとったもの）について、第</w:t>
      </w:r>
      <w:r>
        <w:rPr>
          <w:rFonts w:ascii="ＭＳ 明朝" w:eastAsia="ＭＳ 明朝" w:hAnsi="ＭＳ 明朝"/>
          <w:color w:val="000000" w:themeColor="text1"/>
          <w:szCs w:val="21"/>
        </w:rPr>
        <w:t>1</w:t>
      </w:r>
      <w:r>
        <w:rPr>
          <w:rFonts w:ascii="ＭＳ 明朝" w:eastAsia="ＭＳ 明朝" w:hAnsi="ＭＳ 明朝" w:hint="eastAsia"/>
          <w:color w:val="000000" w:themeColor="text1"/>
          <w:szCs w:val="21"/>
        </w:rPr>
        <w:t>期（１年）に最大</w:t>
      </w:r>
      <w:r>
        <w:rPr>
          <w:rFonts w:ascii="ＭＳ 明朝" w:eastAsia="ＭＳ 明朝" w:hAnsi="ＭＳ 明朝"/>
          <w:color w:val="000000" w:themeColor="text1"/>
          <w:szCs w:val="21"/>
        </w:rPr>
        <w:t>-0.005</w:t>
      </w:r>
      <w:r>
        <w:rPr>
          <w:rFonts w:ascii="ＭＳ 明朝" w:eastAsia="ＭＳ 明朝" w:hAnsi="ＭＳ 明朝" w:hint="eastAsia"/>
          <w:color w:val="000000" w:themeColor="text1"/>
          <w:szCs w:val="21"/>
        </w:rPr>
        <w:t>までに衰退したが、以降は増加傾向となっており、上記のガソリン価格の応答関数と同様に第６期（６年）の時点でゼロに安定していくことが図表からわかる。ただし、累積図からは、第６期（６年）以降の</w:t>
      </w:r>
      <w:r w:rsidRPr="00EB0A45">
        <w:rPr>
          <w:rFonts w:ascii="ＭＳ 明朝" w:eastAsia="ＭＳ 明朝" w:hAnsi="ＭＳ 明朝" w:hint="eastAsia"/>
          <w:color w:val="000000" w:themeColor="text1"/>
          <w:szCs w:val="21"/>
        </w:rPr>
        <w:t>ガソリン販売数量</w:t>
      </w:r>
      <w:bookmarkStart w:id="26" w:name="OLE_LINK3"/>
      <w:bookmarkStart w:id="27" w:name="OLE_LINK4"/>
      <w:r>
        <w:rPr>
          <w:rFonts w:ascii="ＭＳ 明朝" w:eastAsia="ＭＳ 明朝" w:hAnsi="ＭＳ 明朝" w:hint="eastAsia"/>
          <w:color w:val="000000" w:themeColor="text1"/>
          <w:szCs w:val="21"/>
        </w:rPr>
        <w:t>応答曲線</w:t>
      </w:r>
      <w:bookmarkEnd w:id="26"/>
      <w:bookmarkEnd w:id="27"/>
      <w:r>
        <w:rPr>
          <w:rFonts w:ascii="ＭＳ 明朝" w:eastAsia="ＭＳ 明朝" w:hAnsi="ＭＳ 明朝" w:hint="eastAsia"/>
          <w:color w:val="000000" w:themeColor="text1"/>
          <w:szCs w:val="21"/>
        </w:rPr>
        <w:t>の</w:t>
      </w:r>
      <w:r>
        <w:rPr>
          <w:rFonts w:ascii="ＭＳ 明朝" w:eastAsia="ＭＳ 明朝" w:hAnsi="ＭＳ 明朝"/>
          <w:color w:val="000000" w:themeColor="text1"/>
          <w:szCs w:val="21"/>
        </w:rPr>
        <w:t>95%</w:t>
      </w:r>
      <w:r>
        <w:rPr>
          <w:rFonts w:ascii="ＭＳ 明朝" w:eastAsia="ＭＳ 明朝" w:hAnsi="ＭＳ 明朝" w:hint="eastAsia"/>
          <w:color w:val="000000" w:themeColor="text1"/>
          <w:szCs w:val="21"/>
        </w:rPr>
        <w:t>信頼区間が極めてゼロの値に接近しており、</w:t>
      </w:r>
      <w:r w:rsidRPr="00EB0A45">
        <w:rPr>
          <w:rFonts w:ascii="ＭＳ 明朝" w:eastAsia="ＭＳ 明朝" w:hAnsi="ＭＳ 明朝" w:hint="eastAsia"/>
          <w:color w:val="000000" w:themeColor="text1"/>
          <w:szCs w:val="21"/>
        </w:rPr>
        <w:t>ガソリン販売数量</w:t>
      </w:r>
      <w:r w:rsidR="006A0AAC">
        <w:rPr>
          <w:rFonts w:ascii="ＭＳ 明朝" w:eastAsia="ＭＳ 明朝" w:hAnsi="ＭＳ 明朝" w:hint="eastAsia"/>
          <w:color w:val="000000" w:themeColor="text1"/>
          <w:szCs w:val="21"/>
        </w:rPr>
        <w:t>の応答がはっきりしていない部分があり、判断できない可能性がある</w:t>
      </w:r>
      <w:r>
        <w:rPr>
          <w:rFonts w:ascii="ＭＳ 明朝" w:eastAsia="ＭＳ 明朝" w:hAnsi="ＭＳ 明朝" w:hint="eastAsia"/>
          <w:color w:val="000000" w:themeColor="text1"/>
          <w:szCs w:val="21"/>
        </w:rPr>
        <w:t>。</w:t>
      </w:r>
    </w:p>
    <w:p w14:paraId="1B950132" w14:textId="77777777" w:rsidR="00726A67" w:rsidRPr="009626AF" w:rsidRDefault="00726A67" w:rsidP="00726A67">
      <w:pPr>
        <w:rPr>
          <w:rFonts w:eastAsiaTheme="minorHAnsi"/>
          <w:b/>
          <w:color w:val="000000" w:themeColor="text1"/>
          <w:szCs w:val="21"/>
        </w:rPr>
      </w:pPr>
      <w:r w:rsidRPr="00120F70">
        <w:rPr>
          <w:noProof/>
        </w:rPr>
        <w:drawing>
          <wp:inline distT="0" distB="0" distL="0" distR="0" wp14:anchorId="481D8D34" wp14:editId="30BEED51">
            <wp:extent cx="2609898" cy="1892160"/>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9076" cy="1898814"/>
                    </a:xfrm>
                    <a:prstGeom prst="rect">
                      <a:avLst/>
                    </a:prstGeom>
                  </pic:spPr>
                </pic:pic>
              </a:graphicData>
            </a:graphic>
          </wp:inline>
        </w:drawing>
      </w:r>
      <w:r w:rsidRPr="00DA49A1">
        <w:rPr>
          <w:noProof/>
        </w:rPr>
        <w:drawing>
          <wp:inline distT="0" distB="0" distL="0" distR="0" wp14:anchorId="27A305B5" wp14:editId="341EBCF5">
            <wp:extent cx="2602716" cy="189216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6541" cy="1909481"/>
                    </a:xfrm>
                    <a:prstGeom prst="rect">
                      <a:avLst/>
                    </a:prstGeom>
                  </pic:spPr>
                </pic:pic>
              </a:graphicData>
            </a:graphic>
          </wp:inline>
        </w:drawing>
      </w:r>
    </w:p>
    <w:p w14:paraId="3E5BADF6" w14:textId="77777777" w:rsidR="00726A67" w:rsidRDefault="00726A67" w:rsidP="00726A67">
      <w:pPr>
        <w:pStyle w:val="af3"/>
        <w:jc w:val="center"/>
        <w:rPr>
          <w:rFonts w:eastAsiaTheme="minorHAnsi"/>
          <w:b w:val="0"/>
          <w:color w:val="000000" w:themeColor="text1"/>
        </w:rPr>
      </w:pPr>
      <w:r>
        <w:t xml:space="preserve">Figure </w:t>
      </w:r>
      <w:fldSimple w:instr=" SEQ Figure \* ARABIC ">
        <w:r>
          <w:rPr>
            <w:noProof/>
          </w:rPr>
          <w:t>10</w:t>
        </w:r>
      </w:fldSimple>
      <w:r w:rsidRPr="002C70BB">
        <w:rPr>
          <w:rFonts w:eastAsiaTheme="minorHAnsi"/>
          <w:color w:val="000000" w:themeColor="text1"/>
        </w:rPr>
        <w:t xml:space="preserve"> </w:t>
      </w:r>
      <w:r w:rsidRPr="003043AD">
        <w:rPr>
          <w:rFonts w:eastAsiaTheme="minorHAnsi"/>
          <w:color w:val="000000" w:themeColor="text1"/>
        </w:rPr>
        <w:t>VAR1</w:t>
      </w:r>
      <w:bookmarkStart w:id="28" w:name="OLE_LINK257"/>
      <w:bookmarkStart w:id="29" w:name="OLE_LINK258"/>
      <w:r>
        <w:rPr>
          <w:rFonts w:eastAsiaTheme="minorHAnsi" w:hint="eastAsia"/>
          <w:color w:val="000000" w:themeColor="text1"/>
        </w:rPr>
        <w:t>応答関数</w:t>
      </w:r>
      <w:bookmarkEnd w:id="28"/>
      <w:bookmarkEnd w:id="29"/>
    </w:p>
    <w:p w14:paraId="5E2D8531" w14:textId="77777777" w:rsidR="00726A67" w:rsidRPr="00B8360E" w:rsidRDefault="00726A67" w:rsidP="00726A67">
      <w:pPr>
        <w:spacing w:before="240"/>
        <w:jc w:val="left"/>
        <w:rPr>
          <w:rFonts w:ascii="ＭＳ 明朝" w:eastAsia="ＭＳ 明朝" w:hAnsi="ＭＳ 明朝"/>
          <w:color w:val="000000" w:themeColor="text1"/>
          <w:szCs w:val="21"/>
        </w:rPr>
      </w:pPr>
      <w:r>
        <w:rPr>
          <w:rFonts w:eastAsiaTheme="minorHAnsi" w:hint="eastAsia"/>
          <w:b/>
          <w:color w:val="000000" w:themeColor="text1"/>
          <w:szCs w:val="21"/>
        </w:rPr>
        <w:t xml:space="preserve">　一</w:t>
      </w:r>
      <w:r w:rsidRPr="00B8360E">
        <w:rPr>
          <w:rFonts w:ascii="ＭＳ 明朝" w:eastAsia="ＭＳ 明朝" w:hAnsi="ＭＳ 明朝" w:hint="eastAsia"/>
          <w:color w:val="000000" w:themeColor="text1"/>
          <w:szCs w:val="21"/>
        </w:rPr>
        <w:t>方、先行文献の二村（</w:t>
      </w:r>
      <w:r>
        <w:rPr>
          <w:rFonts w:ascii="ＭＳ 明朝" w:eastAsia="ＭＳ 明朝" w:hAnsi="ＭＳ 明朝" w:hint="eastAsia"/>
          <w:color w:val="000000" w:themeColor="text1"/>
          <w:szCs w:val="21"/>
        </w:rPr>
        <w:t>1999</w:t>
      </w:r>
      <w:r w:rsidRPr="00B8360E">
        <w:rPr>
          <w:rFonts w:ascii="ＭＳ 明朝" w:eastAsia="ＭＳ 明朝" w:hAnsi="ＭＳ 明朝" w:hint="eastAsia"/>
          <w:color w:val="000000" w:themeColor="text1"/>
          <w:szCs w:val="21"/>
        </w:rPr>
        <w:t>）と同じ期間のデータを使用する</w:t>
      </w:r>
      <w:r w:rsidRPr="00B8360E">
        <w:rPr>
          <w:rFonts w:ascii="ＭＳ 明朝" w:eastAsia="ＭＳ 明朝" w:hAnsi="ＭＳ 明朝"/>
          <w:color w:val="000000" w:themeColor="text1"/>
          <w:szCs w:val="21"/>
        </w:rPr>
        <w:t>figure 1</w:t>
      </w:r>
      <w:r>
        <w:rPr>
          <w:rFonts w:ascii="ＭＳ 明朝" w:eastAsia="ＭＳ 明朝" w:hAnsi="ＭＳ 明朝"/>
          <w:color w:val="000000" w:themeColor="text1"/>
          <w:szCs w:val="21"/>
        </w:rPr>
        <w:t>1.</w:t>
      </w:r>
      <w:r w:rsidRPr="00EB0A45">
        <w:rPr>
          <w:rFonts w:ascii="ＭＳ 明朝" w:eastAsia="ＭＳ 明朝" w:hAnsi="ＭＳ 明朝" w:hint="eastAsia"/>
          <w:color w:val="000000" w:themeColor="text1"/>
          <w:szCs w:val="21"/>
        </w:rPr>
        <w:t>に</w:t>
      </w:r>
      <w:r>
        <w:rPr>
          <w:rFonts w:ascii="ＭＳ 明朝" w:eastAsia="ＭＳ 明朝" w:hAnsi="ＭＳ 明朝" w:hint="eastAsia"/>
          <w:color w:val="000000" w:themeColor="text1"/>
          <w:szCs w:val="21"/>
        </w:rPr>
        <w:t>示した通り、ガソリンの平均小売価格に予想されていない1標準偏差の衝撃を与えた場合、ガソリン平均小売価格が</w:t>
      </w:r>
      <w:proofErr w:type="spellStart"/>
      <w:r>
        <w:rPr>
          <w:rFonts w:ascii="ＭＳ 明朝" w:eastAsia="ＭＳ 明朝" w:hAnsi="ＭＳ 明朝" w:hint="eastAsia"/>
          <w:color w:val="000000" w:themeColor="text1"/>
          <w:szCs w:val="21"/>
        </w:rPr>
        <w:t>varsoc</w:t>
      </w:r>
      <w:proofErr w:type="spellEnd"/>
      <w:r>
        <w:rPr>
          <w:rFonts w:ascii="ＭＳ 明朝" w:eastAsia="ＭＳ 明朝" w:hAnsi="ＭＳ 明朝" w:hint="eastAsia"/>
          <w:color w:val="000000" w:themeColor="text1"/>
          <w:szCs w:val="21"/>
        </w:rPr>
        <w:t>で設定した</w:t>
      </w:r>
      <w:r>
        <w:rPr>
          <w:rFonts w:ascii="ＭＳ 明朝" w:eastAsia="ＭＳ 明朝" w:hAnsi="ＭＳ 明朝"/>
          <w:color w:val="000000" w:themeColor="text1"/>
          <w:szCs w:val="21"/>
        </w:rPr>
        <w:t>6</w:t>
      </w:r>
      <w:r>
        <w:rPr>
          <w:rFonts w:ascii="ＭＳ 明朝" w:eastAsia="ＭＳ 明朝" w:hAnsi="ＭＳ 明朝" w:hint="eastAsia"/>
          <w:color w:val="000000" w:themeColor="text1"/>
          <w:szCs w:val="21"/>
        </w:rPr>
        <w:t>期目に安定する傾向が見られず、</w:t>
      </w:r>
      <w:r>
        <w:rPr>
          <w:rFonts w:ascii="ＭＳ 明朝" w:eastAsia="ＭＳ 明朝" w:hAnsi="ＭＳ 明朝"/>
          <w:color w:val="000000" w:themeColor="text1"/>
          <w:szCs w:val="21"/>
        </w:rPr>
        <w:t>6</w:t>
      </w:r>
      <w:r>
        <w:rPr>
          <w:rFonts w:ascii="ＭＳ 明朝" w:eastAsia="ＭＳ 明朝" w:hAnsi="ＭＳ 明朝" w:hint="eastAsia"/>
          <w:color w:val="000000" w:themeColor="text1"/>
          <w:szCs w:val="21"/>
        </w:rPr>
        <w:t>期以降からはあくまでも参考程度だが、第</w:t>
      </w:r>
      <w:r>
        <w:rPr>
          <w:rFonts w:ascii="ＭＳ 明朝" w:eastAsia="ＭＳ 明朝" w:hAnsi="ＭＳ 明朝"/>
          <w:color w:val="000000" w:themeColor="text1"/>
          <w:szCs w:val="21"/>
        </w:rPr>
        <w:t>20</w:t>
      </w:r>
      <w:r>
        <w:rPr>
          <w:rFonts w:ascii="ＭＳ 明朝" w:eastAsia="ＭＳ 明朝" w:hAnsi="ＭＳ 明朝" w:hint="eastAsia"/>
          <w:color w:val="000000" w:themeColor="text1"/>
          <w:szCs w:val="21"/>
        </w:rPr>
        <w:t>期(</w:t>
      </w:r>
      <w:r>
        <w:rPr>
          <w:rFonts w:ascii="ＭＳ 明朝" w:eastAsia="ＭＳ 明朝" w:hAnsi="ＭＳ 明朝"/>
          <w:color w:val="000000" w:themeColor="text1"/>
          <w:szCs w:val="21"/>
        </w:rPr>
        <w:t>20</w:t>
      </w:r>
      <w:r>
        <w:rPr>
          <w:rFonts w:ascii="ＭＳ 明朝" w:eastAsia="ＭＳ 明朝" w:hAnsi="ＭＳ 明朝" w:hint="eastAsia"/>
          <w:color w:val="000000" w:themeColor="text1"/>
          <w:szCs w:val="21"/>
        </w:rPr>
        <w:t>年)の時点まで上下振動する傾向となり、第</w:t>
      </w:r>
      <w:r>
        <w:rPr>
          <w:rFonts w:ascii="ＭＳ 明朝" w:eastAsia="ＭＳ 明朝" w:hAnsi="ＭＳ 明朝"/>
          <w:color w:val="000000" w:themeColor="text1"/>
          <w:szCs w:val="21"/>
        </w:rPr>
        <w:t>25</w:t>
      </w:r>
      <w:r>
        <w:rPr>
          <w:rFonts w:ascii="ＭＳ 明朝" w:eastAsia="ＭＳ 明朝" w:hAnsi="ＭＳ 明朝" w:hint="eastAsia"/>
          <w:color w:val="000000" w:themeColor="text1"/>
          <w:szCs w:val="21"/>
        </w:rPr>
        <w:t>期</w:t>
      </w:r>
      <w:r>
        <w:rPr>
          <w:rFonts w:ascii="ＭＳ 明朝" w:eastAsia="ＭＳ 明朝" w:hAnsi="ＭＳ 明朝"/>
          <w:color w:val="000000" w:themeColor="text1"/>
          <w:szCs w:val="21"/>
        </w:rPr>
        <w:t>(</w:t>
      </w:r>
      <w:r>
        <w:rPr>
          <w:rFonts w:ascii="ＭＳ 明朝" w:eastAsia="ＭＳ 明朝" w:hAnsi="ＭＳ 明朝" w:hint="eastAsia"/>
          <w:color w:val="000000" w:themeColor="text1"/>
          <w:szCs w:val="21"/>
        </w:rPr>
        <w:t>25年</w:t>
      </w:r>
      <w:r>
        <w:rPr>
          <w:rFonts w:ascii="ＭＳ 明朝" w:eastAsia="ＭＳ 明朝" w:hAnsi="ＭＳ 明朝"/>
          <w:color w:val="000000" w:themeColor="text1"/>
          <w:szCs w:val="21"/>
        </w:rPr>
        <w:t>)</w:t>
      </w:r>
      <w:r>
        <w:rPr>
          <w:rFonts w:ascii="ＭＳ 明朝" w:eastAsia="ＭＳ 明朝" w:hAnsi="ＭＳ 明朝" w:hint="eastAsia"/>
          <w:color w:val="000000" w:themeColor="text1"/>
          <w:szCs w:val="21"/>
        </w:rPr>
        <w:t>からは最終的にゼロに収束していくことが図表から読み取れる。</w:t>
      </w:r>
    </w:p>
    <w:p w14:paraId="135B85F1" w14:textId="72EAF045" w:rsidR="00726A67" w:rsidRPr="00B8360E" w:rsidRDefault="00726A67" w:rsidP="00726A67">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また、</w:t>
      </w:r>
      <w:r w:rsidRPr="00EB0A45">
        <w:rPr>
          <w:rFonts w:ascii="ＭＳ 明朝" w:eastAsia="ＭＳ 明朝" w:hAnsi="ＭＳ 明朝" w:hint="eastAsia"/>
          <w:color w:val="000000" w:themeColor="text1"/>
          <w:szCs w:val="21"/>
        </w:rPr>
        <w:t>消費者向けのガソリン販売数量</w:t>
      </w:r>
      <w:r>
        <w:rPr>
          <w:rFonts w:ascii="ＭＳ 明朝" w:eastAsia="ＭＳ 明朝" w:hAnsi="ＭＳ 明朝" w:hint="eastAsia"/>
          <w:color w:val="000000" w:themeColor="text1"/>
          <w:szCs w:val="21"/>
        </w:rPr>
        <w:t>について、第</w:t>
      </w:r>
      <w:r>
        <w:rPr>
          <w:rFonts w:ascii="ＭＳ 明朝" w:eastAsia="ＭＳ 明朝" w:hAnsi="ＭＳ 明朝"/>
          <w:color w:val="000000" w:themeColor="text1"/>
          <w:szCs w:val="21"/>
        </w:rPr>
        <w:t>5</w:t>
      </w:r>
      <w:r>
        <w:rPr>
          <w:rFonts w:ascii="ＭＳ 明朝" w:eastAsia="ＭＳ 明朝" w:hAnsi="ＭＳ 明朝" w:hint="eastAsia"/>
          <w:color w:val="000000" w:themeColor="text1"/>
          <w:szCs w:val="21"/>
        </w:rPr>
        <w:t>期（５年）までに最大</w:t>
      </w:r>
      <w:r>
        <w:rPr>
          <w:rFonts w:ascii="ＭＳ 明朝" w:eastAsia="ＭＳ 明朝" w:hAnsi="ＭＳ 明朝"/>
          <w:color w:val="000000" w:themeColor="text1"/>
          <w:szCs w:val="21"/>
        </w:rPr>
        <w:t>-0.005</w:t>
      </w:r>
      <w:r>
        <w:rPr>
          <w:rFonts w:ascii="ＭＳ 明朝" w:eastAsia="ＭＳ 明朝" w:hAnsi="ＭＳ 明朝" w:hint="eastAsia"/>
          <w:color w:val="000000" w:themeColor="text1"/>
          <w:szCs w:val="21"/>
        </w:rPr>
        <w:t>まで減少したが、以降は安定傾向となり、第</w:t>
      </w:r>
      <w:r>
        <w:rPr>
          <w:rFonts w:ascii="ＭＳ 明朝" w:eastAsia="ＭＳ 明朝" w:hAnsi="ＭＳ 明朝"/>
          <w:color w:val="000000" w:themeColor="text1"/>
          <w:szCs w:val="21"/>
        </w:rPr>
        <w:t>10</w:t>
      </w:r>
      <w:r>
        <w:rPr>
          <w:rFonts w:ascii="ＭＳ 明朝" w:eastAsia="ＭＳ 明朝" w:hAnsi="ＭＳ 明朝" w:hint="eastAsia"/>
          <w:color w:val="000000" w:themeColor="text1"/>
          <w:szCs w:val="21"/>
        </w:rPr>
        <w:t>期（10年）の時点からゼロに安定していくことが図表から伺える。ただし、</w:t>
      </w:r>
      <w:r>
        <w:rPr>
          <w:rFonts w:ascii="ＭＳ 明朝" w:eastAsia="ＭＳ 明朝" w:hAnsi="ＭＳ 明朝"/>
          <w:color w:val="000000" w:themeColor="text1"/>
          <w:szCs w:val="21"/>
        </w:rPr>
        <w:t>figure 10</w:t>
      </w:r>
      <w:r w:rsidRPr="00B8360E">
        <w:rPr>
          <w:rFonts w:ascii="ＭＳ 明朝" w:eastAsia="ＭＳ 明朝" w:hAnsi="ＭＳ 明朝" w:hint="eastAsia"/>
          <w:color w:val="000000" w:themeColor="text1"/>
          <w:szCs w:val="21"/>
        </w:rPr>
        <w:t>と同じ課題で、</w:t>
      </w:r>
      <w:r>
        <w:rPr>
          <w:rFonts w:ascii="ＭＳ 明朝" w:eastAsia="ＭＳ 明朝" w:hAnsi="ＭＳ 明朝" w:hint="eastAsia"/>
          <w:color w:val="000000" w:themeColor="text1"/>
          <w:szCs w:val="21"/>
        </w:rPr>
        <w:t>累積図からは、第</w:t>
      </w:r>
      <w:r>
        <w:rPr>
          <w:rFonts w:ascii="ＭＳ 明朝" w:eastAsia="ＭＳ 明朝" w:hAnsi="ＭＳ 明朝"/>
          <w:color w:val="000000" w:themeColor="text1"/>
          <w:szCs w:val="21"/>
        </w:rPr>
        <w:t>10</w:t>
      </w:r>
      <w:r>
        <w:rPr>
          <w:rFonts w:ascii="ＭＳ 明朝" w:eastAsia="ＭＳ 明朝" w:hAnsi="ＭＳ 明朝" w:hint="eastAsia"/>
          <w:color w:val="000000" w:themeColor="text1"/>
          <w:szCs w:val="21"/>
        </w:rPr>
        <w:t>期以降の</w:t>
      </w:r>
      <w:r w:rsidRPr="00EB0A45">
        <w:rPr>
          <w:rFonts w:ascii="ＭＳ 明朝" w:eastAsia="ＭＳ 明朝" w:hAnsi="ＭＳ 明朝" w:hint="eastAsia"/>
          <w:color w:val="000000" w:themeColor="text1"/>
          <w:szCs w:val="21"/>
        </w:rPr>
        <w:t>ガソリン販売数量</w:t>
      </w:r>
      <w:r>
        <w:rPr>
          <w:rFonts w:ascii="ＭＳ 明朝" w:eastAsia="ＭＳ 明朝" w:hAnsi="ＭＳ 明朝" w:hint="eastAsia"/>
          <w:color w:val="000000" w:themeColor="text1"/>
          <w:szCs w:val="21"/>
        </w:rPr>
        <w:t>応答曲線の</w:t>
      </w:r>
      <w:r>
        <w:rPr>
          <w:rFonts w:ascii="ＭＳ 明朝" w:eastAsia="ＭＳ 明朝" w:hAnsi="ＭＳ 明朝"/>
          <w:color w:val="000000" w:themeColor="text1"/>
          <w:szCs w:val="21"/>
        </w:rPr>
        <w:t>95%</w:t>
      </w:r>
      <w:r>
        <w:rPr>
          <w:rFonts w:ascii="ＭＳ 明朝" w:eastAsia="ＭＳ 明朝" w:hAnsi="ＭＳ 明朝" w:hint="eastAsia"/>
          <w:color w:val="000000" w:themeColor="text1"/>
          <w:szCs w:val="21"/>
        </w:rPr>
        <w:t>信頼区間が有意に正あるいは負の値にどちらもなっておらず、</w:t>
      </w:r>
      <w:r w:rsidRPr="00EB0A45">
        <w:rPr>
          <w:rFonts w:ascii="ＭＳ 明朝" w:eastAsia="ＭＳ 明朝" w:hAnsi="ＭＳ 明朝" w:hint="eastAsia"/>
          <w:color w:val="000000" w:themeColor="text1"/>
          <w:szCs w:val="21"/>
        </w:rPr>
        <w:t>ガソリン販売数量</w:t>
      </w:r>
      <w:r w:rsidR="006A0AAC">
        <w:rPr>
          <w:rFonts w:ascii="ＭＳ 明朝" w:eastAsia="ＭＳ 明朝" w:hAnsi="ＭＳ 明朝" w:hint="eastAsia"/>
          <w:color w:val="000000" w:themeColor="text1"/>
          <w:szCs w:val="21"/>
        </w:rPr>
        <w:t>の変化率の符号が曖昧であるという懸念がある。</w:t>
      </w:r>
    </w:p>
    <w:p w14:paraId="392E198F" w14:textId="77777777" w:rsidR="00726A67" w:rsidRPr="00127DD1" w:rsidRDefault="00726A67" w:rsidP="00726A67">
      <w:pPr>
        <w:jc w:val="center"/>
        <w:rPr>
          <w:rFonts w:eastAsiaTheme="minorHAnsi"/>
          <w:b/>
          <w:color w:val="000000" w:themeColor="text1"/>
          <w:szCs w:val="21"/>
        </w:rPr>
      </w:pPr>
      <w:r w:rsidRPr="00A21098">
        <w:rPr>
          <w:noProof/>
        </w:rPr>
        <w:lastRenderedPageBreak/>
        <w:drawing>
          <wp:inline distT="0" distB="0" distL="0" distR="0" wp14:anchorId="1A43D26E" wp14:editId="36EC8E1E">
            <wp:extent cx="2510665" cy="1828194"/>
            <wp:effectExtent l="0" t="0" r="4445"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1834" cy="1836327"/>
                    </a:xfrm>
                    <a:prstGeom prst="rect">
                      <a:avLst/>
                    </a:prstGeom>
                  </pic:spPr>
                </pic:pic>
              </a:graphicData>
            </a:graphic>
          </wp:inline>
        </w:drawing>
      </w:r>
      <w:r w:rsidRPr="00A21098">
        <w:rPr>
          <w:noProof/>
        </w:rPr>
        <w:drawing>
          <wp:inline distT="0" distB="0" distL="0" distR="0" wp14:anchorId="2C14EBAB" wp14:editId="39A1BFA3">
            <wp:extent cx="2555683" cy="1828194"/>
            <wp:effectExtent l="0" t="0" r="1016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8274" cy="1837201"/>
                    </a:xfrm>
                    <a:prstGeom prst="rect">
                      <a:avLst/>
                    </a:prstGeom>
                  </pic:spPr>
                </pic:pic>
              </a:graphicData>
            </a:graphic>
          </wp:inline>
        </w:drawing>
      </w:r>
    </w:p>
    <w:p w14:paraId="389766D4" w14:textId="77777777" w:rsidR="00726A67" w:rsidRPr="003043AD" w:rsidRDefault="00726A67" w:rsidP="00726A67">
      <w:pPr>
        <w:pStyle w:val="af3"/>
        <w:jc w:val="center"/>
        <w:rPr>
          <w:rFonts w:eastAsiaTheme="minorHAnsi"/>
          <w:b w:val="0"/>
          <w:color w:val="FF0000"/>
        </w:rPr>
      </w:pPr>
      <w:r>
        <w:t xml:space="preserve">Figure </w:t>
      </w:r>
      <w:fldSimple w:instr=" SEQ Figure \* ARABIC ">
        <w:r>
          <w:rPr>
            <w:noProof/>
          </w:rPr>
          <w:t>11</w:t>
        </w:r>
      </w:fldSimple>
      <w:r w:rsidRPr="002C70BB">
        <w:rPr>
          <w:rFonts w:eastAsiaTheme="minorHAnsi"/>
          <w:color w:val="000000" w:themeColor="text1"/>
        </w:rPr>
        <w:t xml:space="preserve"> </w:t>
      </w:r>
      <w:r w:rsidRPr="003043AD">
        <w:rPr>
          <w:rFonts w:eastAsiaTheme="minorHAnsi"/>
          <w:color w:val="000000" w:themeColor="text1"/>
        </w:rPr>
        <w:t>VAR2</w:t>
      </w:r>
      <w:r>
        <w:rPr>
          <w:rFonts w:eastAsiaTheme="minorHAnsi" w:hint="eastAsia"/>
          <w:color w:val="000000" w:themeColor="text1"/>
        </w:rPr>
        <w:t>応答関数</w:t>
      </w:r>
    </w:p>
    <w:p w14:paraId="2350B1BA" w14:textId="77777777" w:rsidR="00726A67" w:rsidRPr="003043AD" w:rsidRDefault="00726A67" w:rsidP="00726A67">
      <w:pPr>
        <w:rPr>
          <w:rFonts w:eastAsiaTheme="minorHAnsi"/>
          <w:b/>
          <w:color w:val="000000" w:themeColor="text1"/>
          <w:szCs w:val="21"/>
        </w:rPr>
      </w:pPr>
      <w:r>
        <w:rPr>
          <w:rFonts w:eastAsiaTheme="minorHAnsi"/>
          <w:b/>
          <w:color w:val="000000" w:themeColor="text1"/>
          <w:szCs w:val="21"/>
        </w:rPr>
        <w:t>3.3</w:t>
      </w:r>
      <w:r w:rsidRPr="003043AD">
        <w:rPr>
          <w:rFonts w:eastAsiaTheme="minorHAnsi" w:hint="eastAsia"/>
          <w:b/>
          <w:color w:val="000000" w:themeColor="text1"/>
          <w:szCs w:val="21"/>
        </w:rPr>
        <w:t>分析結果</w:t>
      </w:r>
    </w:p>
    <w:p w14:paraId="69BEF6D2" w14:textId="77777777" w:rsidR="00726A67" w:rsidRDefault="00726A67" w:rsidP="00726A67">
      <w:pPr>
        <w:rPr>
          <w:rFonts w:eastAsiaTheme="minorHAnsi"/>
          <w:color w:val="000000" w:themeColor="text1"/>
          <w:szCs w:val="21"/>
        </w:rPr>
      </w:pPr>
      <w:r w:rsidRPr="003043AD">
        <w:rPr>
          <w:rFonts w:eastAsiaTheme="minorHAnsi" w:hint="eastAsia"/>
          <w:color w:val="FF0000"/>
          <w:szCs w:val="21"/>
        </w:rPr>
        <w:t xml:space="preserve">　</w:t>
      </w:r>
      <w:r>
        <w:rPr>
          <w:rFonts w:eastAsiaTheme="minorHAnsi" w:hint="eastAsia"/>
          <w:color w:val="000000" w:themeColor="text1"/>
          <w:szCs w:val="21"/>
        </w:rPr>
        <w:t>分析にあたって、エコカー市場の拡大並びにエコカー減税</w:t>
      </w:r>
      <w:r w:rsidRPr="003043AD">
        <w:rPr>
          <w:rFonts w:eastAsiaTheme="minorHAnsi" w:hint="eastAsia"/>
          <w:color w:val="000000" w:themeColor="text1"/>
          <w:szCs w:val="21"/>
        </w:rPr>
        <w:t>政策や国際原油ショックなどの外部要因といっ</w:t>
      </w:r>
      <w:r>
        <w:rPr>
          <w:rFonts w:eastAsiaTheme="minorHAnsi" w:hint="eastAsia"/>
          <w:color w:val="000000" w:themeColor="text1"/>
          <w:szCs w:val="21"/>
        </w:rPr>
        <w:t>た背景で、ガソリン需給においては何らか形で構造変化が生じ、</w:t>
      </w:r>
      <w:r w:rsidRPr="003043AD">
        <w:rPr>
          <w:rFonts w:eastAsiaTheme="minorHAnsi" w:hint="eastAsia"/>
          <w:color w:val="000000" w:themeColor="text1"/>
          <w:szCs w:val="21"/>
        </w:rPr>
        <w:t>ガソリンの需要曲線が左シフトし、ガソリンの平均価格低下・国内販売量減少の現象が発生したという仮説を設定したが、分析結果は仮説内容と異なる内容となった。</w:t>
      </w:r>
      <w:r w:rsidRPr="00C34BCE">
        <w:rPr>
          <w:rFonts w:eastAsiaTheme="minorHAnsi" w:hint="eastAsia"/>
          <w:color w:val="000000" w:themeColor="text1"/>
          <w:szCs w:val="21"/>
        </w:rPr>
        <w:t>日本国内消費者向けのガソリン販売数量（自然対数、</w:t>
      </w:r>
      <w:r w:rsidRPr="00C34BCE">
        <w:rPr>
          <w:rFonts w:eastAsiaTheme="minorHAnsi"/>
          <w:color w:val="000000" w:themeColor="text1"/>
          <w:szCs w:val="21"/>
        </w:rPr>
        <w:t>1階階差をとったもの）に対して、ガソリン</w:t>
      </w:r>
      <w:r>
        <w:rPr>
          <w:rFonts w:eastAsiaTheme="minorHAnsi" w:hint="eastAsia"/>
          <w:color w:val="000000" w:themeColor="text1"/>
          <w:szCs w:val="21"/>
        </w:rPr>
        <w:t>実質</w:t>
      </w:r>
      <w:r w:rsidRPr="00C34BCE">
        <w:rPr>
          <w:rFonts w:eastAsiaTheme="minorHAnsi"/>
          <w:color w:val="000000" w:themeColor="text1"/>
          <w:szCs w:val="21"/>
        </w:rPr>
        <w:t>平均価格は有意な係数が示されなかった</w:t>
      </w:r>
      <w:r>
        <w:rPr>
          <w:rFonts w:eastAsiaTheme="minorHAnsi" w:hint="eastAsia"/>
          <w:color w:val="000000" w:themeColor="text1"/>
          <w:szCs w:val="21"/>
        </w:rPr>
        <w:t>（符号はすべてマイナスで、正確となっていたが）</w:t>
      </w:r>
      <w:r w:rsidRPr="00C34BCE">
        <w:rPr>
          <w:rFonts w:eastAsiaTheme="minorHAnsi"/>
          <w:color w:val="000000" w:themeColor="text1"/>
          <w:szCs w:val="21"/>
        </w:rPr>
        <w:t>。同時に、1974-2016年と1974-1997年のVAR分析にあるインパルス応答関数の結果から考察すると、いずれも6期</w:t>
      </w:r>
      <w:r>
        <w:rPr>
          <w:rFonts w:eastAsiaTheme="minorHAnsi" w:hint="eastAsia"/>
          <w:color w:val="000000" w:themeColor="text1"/>
          <w:szCs w:val="21"/>
        </w:rPr>
        <w:t>あるいは１０期目</w:t>
      </w:r>
      <w:r w:rsidRPr="00C34BCE">
        <w:rPr>
          <w:rFonts w:eastAsiaTheme="minorHAnsi"/>
          <w:color w:val="000000" w:themeColor="text1"/>
          <w:szCs w:val="21"/>
        </w:rPr>
        <w:t>で安定することがわかり、かつ価格の１標準偏差衝撃がガソリン数量にもたらした効果がいずれも似たような形で</w:t>
      </w:r>
      <w:r>
        <w:rPr>
          <w:rFonts w:eastAsiaTheme="minorHAnsi" w:hint="eastAsia"/>
          <w:color w:val="000000" w:themeColor="text1"/>
          <w:szCs w:val="21"/>
        </w:rPr>
        <w:t>符号も</w:t>
      </w:r>
      <w:r w:rsidRPr="00C34BCE">
        <w:rPr>
          <w:rFonts w:eastAsiaTheme="minorHAnsi"/>
          <w:color w:val="000000" w:themeColor="text1"/>
          <w:szCs w:val="21"/>
        </w:rPr>
        <w:t>不明瞭となっている</w:t>
      </w:r>
      <w:r>
        <w:rPr>
          <w:rFonts w:eastAsiaTheme="minorHAnsi"/>
          <w:color w:val="000000" w:themeColor="text1"/>
          <w:szCs w:val="21"/>
        </w:rPr>
        <w:t>という</w:t>
      </w:r>
      <w:r>
        <w:rPr>
          <w:rFonts w:eastAsiaTheme="minorHAnsi" w:hint="eastAsia"/>
          <w:color w:val="000000" w:themeColor="text1"/>
          <w:szCs w:val="21"/>
        </w:rPr>
        <w:t>結果</w:t>
      </w:r>
      <w:r w:rsidRPr="00C34BCE">
        <w:rPr>
          <w:rFonts w:eastAsiaTheme="minorHAnsi"/>
          <w:color w:val="000000" w:themeColor="text1"/>
          <w:szCs w:val="21"/>
        </w:rPr>
        <w:t>に至った。</w:t>
      </w:r>
      <w:r w:rsidRPr="003043AD">
        <w:rPr>
          <w:rFonts w:eastAsiaTheme="minorHAnsi" w:hint="eastAsia"/>
          <w:color w:val="000000" w:themeColor="text1"/>
          <w:szCs w:val="21"/>
        </w:rPr>
        <w:t>エコカー減税政策ダミーはガソリンの平均価格や販売量両方に対して</w:t>
      </w:r>
      <w:r>
        <w:rPr>
          <w:rFonts w:eastAsiaTheme="minorHAnsi" w:hint="eastAsia"/>
          <w:color w:val="000000" w:themeColor="text1"/>
          <w:szCs w:val="21"/>
        </w:rPr>
        <w:t>符号がマイナスであるものの、</w:t>
      </w:r>
      <w:r w:rsidRPr="003043AD">
        <w:rPr>
          <w:rFonts w:eastAsiaTheme="minorHAnsi" w:hint="eastAsia"/>
          <w:color w:val="000000" w:themeColor="text1"/>
          <w:szCs w:val="21"/>
        </w:rPr>
        <w:t>有意</w:t>
      </w:r>
      <w:r>
        <w:rPr>
          <w:rFonts w:eastAsiaTheme="minorHAnsi" w:hint="eastAsia"/>
          <w:color w:val="000000" w:themeColor="text1"/>
          <w:szCs w:val="21"/>
        </w:rPr>
        <w:t>性がなかった。</w:t>
      </w:r>
      <w:r w:rsidRPr="003043AD">
        <w:rPr>
          <w:rFonts w:eastAsiaTheme="minorHAnsi" w:hint="eastAsia"/>
          <w:color w:val="000000" w:themeColor="text1"/>
          <w:szCs w:val="21"/>
        </w:rPr>
        <w:t>考えられる理由として、例えば減税政策の前提である「燃費基準達成車（低燃費車）」認定制度について “抜け道”の存在がある。国の基準は自動車の重量が重くなるほど緩くなるため、本来は基準を満たさない車にパワーシートなどを搭載し、重量をかさ上げした“見せかけ”の達成車があるためである。これによって、一見エコカー減税政策が平均燃費を改善させたも</w:t>
      </w:r>
      <w:r w:rsidRPr="00AE0EEE">
        <w:rPr>
          <w:rFonts w:eastAsiaTheme="minorHAnsi" w:hint="eastAsia"/>
          <w:color w:val="000000" w:themeColor="text1"/>
          <w:szCs w:val="21"/>
        </w:rPr>
        <w:t>のの、絶対値であるガソリン消費量が逆に拡大することが一因であると考えられる。</w:t>
      </w:r>
      <w:r>
        <w:rPr>
          <w:rStyle w:val="a5"/>
          <w:rFonts w:eastAsiaTheme="minorHAnsi"/>
          <w:color w:val="000000" w:themeColor="text1"/>
          <w:szCs w:val="21"/>
        </w:rPr>
        <w:footnoteReference w:id="16"/>
      </w:r>
    </w:p>
    <w:p w14:paraId="5E0FD6B7" w14:textId="77777777" w:rsidR="00726A67" w:rsidRPr="00AE0EEE" w:rsidRDefault="00726A67" w:rsidP="00726A67">
      <w:pPr>
        <w:rPr>
          <w:rFonts w:eastAsiaTheme="minorHAnsi"/>
          <w:color w:val="000000" w:themeColor="text1"/>
          <w:szCs w:val="21"/>
        </w:rPr>
      </w:pPr>
      <w:r>
        <w:rPr>
          <w:rFonts w:eastAsiaTheme="minorHAnsi" w:hint="eastAsia"/>
          <w:color w:val="000000" w:themeColor="text1"/>
          <w:szCs w:val="21"/>
        </w:rPr>
        <w:t xml:space="preserve">　</w:t>
      </w:r>
      <w:r w:rsidRPr="00AE0EEE">
        <w:rPr>
          <w:rFonts w:eastAsiaTheme="minorHAnsi" w:hint="eastAsia"/>
          <w:color w:val="000000" w:themeColor="text1"/>
          <w:szCs w:val="21"/>
        </w:rPr>
        <w:t>また、オイルショックやイラク戦争といった日本に大きな影響をあたえる海外の出来事を考慮するダミー変数において、いずれもガソリン需給に正の影響（ガソリンの販売数量を増加させること）を与える可能性が示唆された。</w:t>
      </w:r>
    </w:p>
    <w:p w14:paraId="20AD110F" w14:textId="1DB7A681" w:rsidR="00726A67" w:rsidRPr="00A868DF" w:rsidRDefault="00726A67" w:rsidP="00726A67">
      <w:pPr>
        <w:rPr>
          <w:rFonts w:eastAsiaTheme="minorHAnsi"/>
          <w:color w:val="000000" w:themeColor="text1"/>
          <w:szCs w:val="21"/>
        </w:rPr>
      </w:pPr>
      <w:r>
        <w:rPr>
          <w:rFonts w:eastAsiaTheme="minorHAnsi" w:hint="eastAsia"/>
          <w:color w:val="000000" w:themeColor="text1"/>
          <w:szCs w:val="21"/>
        </w:rPr>
        <w:t xml:space="preserve">　もっとも、本モデルでは</w:t>
      </w:r>
      <w:r w:rsidRPr="00A868DF">
        <w:rPr>
          <w:rFonts w:eastAsiaTheme="minorHAnsi" w:hint="eastAsia"/>
          <w:color w:val="000000" w:themeColor="text1"/>
          <w:szCs w:val="21"/>
        </w:rPr>
        <w:t>当該</w:t>
      </w:r>
      <w:bookmarkStart w:id="30" w:name="OLE_LINK12"/>
      <w:bookmarkStart w:id="31" w:name="OLE_LINK13"/>
      <w:r w:rsidRPr="00A868DF">
        <w:rPr>
          <w:rFonts w:eastAsiaTheme="minorHAnsi" w:hint="eastAsia"/>
          <w:color w:val="000000" w:themeColor="text1"/>
          <w:szCs w:val="21"/>
        </w:rPr>
        <w:t>減税政策以外の政</w:t>
      </w:r>
      <w:bookmarkStart w:id="32" w:name="OLE_LINK9"/>
      <w:bookmarkStart w:id="33" w:name="OLE_LINK10"/>
      <w:r w:rsidRPr="00A868DF">
        <w:rPr>
          <w:rFonts w:eastAsiaTheme="minorHAnsi" w:hint="eastAsia"/>
          <w:color w:val="000000" w:themeColor="text1"/>
          <w:szCs w:val="21"/>
        </w:rPr>
        <w:t>策</w:t>
      </w:r>
      <w:bookmarkEnd w:id="32"/>
      <w:bookmarkEnd w:id="33"/>
      <w:r w:rsidR="006A0AAC">
        <w:rPr>
          <w:rFonts w:eastAsiaTheme="minorHAnsi" w:hint="eastAsia"/>
          <w:color w:val="000000" w:themeColor="text1"/>
          <w:szCs w:val="21"/>
        </w:rPr>
        <w:t>を考慮</w:t>
      </w:r>
      <w:r w:rsidRPr="00A868DF">
        <w:rPr>
          <w:rFonts w:eastAsiaTheme="minorHAnsi" w:hint="eastAsia"/>
          <w:color w:val="000000" w:themeColor="text1"/>
          <w:szCs w:val="21"/>
        </w:rPr>
        <w:t>に入れなかったことから、より自動車購入という行為を正確に反映できる計量モデル</w:t>
      </w:r>
      <w:r>
        <w:rPr>
          <w:rFonts w:eastAsiaTheme="minorHAnsi" w:hint="eastAsia"/>
          <w:color w:val="000000" w:themeColor="text1"/>
          <w:szCs w:val="21"/>
        </w:rPr>
        <w:t>（例えば</w:t>
      </w:r>
      <w:r w:rsidRPr="00A868DF">
        <w:rPr>
          <w:rFonts w:eastAsiaTheme="minorHAnsi" w:hint="eastAsia"/>
          <w:color w:val="000000" w:themeColor="text1"/>
          <w:szCs w:val="21"/>
        </w:rPr>
        <w:t>金本</w:t>
      </w:r>
      <w:r w:rsidRPr="00A868DF">
        <w:rPr>
          <w:rFonts w:eastAsiaTheme="minorHAnsi"/>
          <w:color w:val="000000" w:themeColor="text1"/>
          <w:szCs w:val="21"/>
        </w:rPr>
        <w:t>(2006)</w:t>
      </w:r>
      <w:r w:rsidRPr="00A868DF">
        <w:rPr>
          <w:rFonts w:eastAsiaTheme="minorHAnsi" w:hint="eastAsia"/>
          <w:color w:val="000000" w:themeColor="text1"/>
          <w:szCs w:val="21"/>
        </w:rPr>
        <w:t>型の二段階選択モデル</w:t>
      </w:r>
      <w:r>
        <w:rPr>
          <w:rFonts w:eastAsiaTheme="minorHAnsi" w:hint="eastAsia"/>
          <w:color w:val="000000" w:themeColor="text1"/>
          <w:szCs w:val="21"/>
        </w:rPr>
        <w:t>）が重要で、モデ</w:t>
      </w:r>
      <w:r w:rsidR="006A0AAC">
        <w:rPr>
          <w:rFonts w:eastAsiaTheme="minorHAnsi" w:hint="eastAsia"/>
          <w:color w:val="000000" w:themeColor="text1"/>
          <w:szCs w:val="21"/>
        </w:rPr>
        <w:t>ルの修正を行い再度分析を行うことを後期の課題としたい。</w:t>
      </w:r>
      <w:r w:rsidRPr="00A868DF">
        <w:rPr>
          <w:rFonts w:eastAsiaTheme="minorHAnsi" w:hint="eastAsia"/>
          <w:color w:val="000000" w:themeColor="text1"/>
          <w:szCs w:val="21"/>
        </w:rPr>
        <w:t>。</w:t>
      </w:r>
    </w:p>
    <w:bookmarkEnd w:id="30"/>
    <w:bookmarkEnd w:id="31"/>
    <w:p w14:paraId="2A74397A" w14:textId="77777777" w:rsidR="00726A67" w:rsidRPr="003043AD" w:rsidRDefault="00726A67" w:rsidP="00726A67">
      <w:pPr>
        <w:rPr>
          <w:rFonts w:eastAsiaTheme="minorHAnsi"/>
          <w:b/>
          <w:color w:val="FF0000"/>
          <w:szCs w:val="21"/>
        </w:rPr>
      </w:pPr>
    </w:p>
    <w:p w14:paraId="47CDCCAB" w14:textId="77777777" w:rsidR="00726A67" w:rsidRDefault="00726A67" w:rsidP="00726A67">
      <w:pPr>
        <w:rPr>
          <w:rFonts w:eastAsiaTheme="minorHAnsi"/>
          <w:b/>
          <w:color w:val="000000" w:themeColor="text1"/>
          <w:szCs w:val="21"/>
        </w:rPr>
      </w:pPr>
      <w:r>
        <w:rPr>
          <w:rFonts w:eastAsiaTheme="minorHAnsi" w:hint="eastAsia"/>
          <w:b/>
          <w:color w:val="000000" w:themeColor="text1"/>
          <w:szCs w:val="21"/>
        </w:rPr>
        <w:t>3.4考察と課題</w:t>
      </w:r>
    </w:p>
    <w:p w14:paraId="3D31A3AC" w14:textId="63F38CE4" w:rsidR="00726A67" w:rsidRPr="00A868DF" w:rsidRDefault="00726A67" w:rsidP="00726A67">
      <w:pPr>
        <w:rPr>
          <w:rFonts w:eastAsiaTheme="minorHAnsi"/>
          <w:color w:val="000000" w:themeColor="text1"/>
          <w:szCs w:val="21"/>
        </w:rPr>
      </w:pPr>
      <w:r>
        <w:rPr>
          <w:rFonts w:eastAsiaTheme="minorHAnsi" w:hint="eastAsia"/>
          <w:color w:val="000000" w:themeColor="text1"/>
          <w:szCs w:val="21"/>
        </w:rPr>
        <w:t xml:space="preserve">　まず、結論から言えば、</w:t>
      </w:r>
      <w:r w:rsidRPr="00210501">
        <w:rPr>
          <w:rFonts w:eastAsiaTheme="minorHAnsi" w:hint="eastAsia"/>
          <w:color w:val="000000" w:themeColor="text1"/>
          <w:szCs w:val="21"/>
        </w:rPr>
        <w:t>「モデルが適切ではない」可能性が高く、前述通りに、</w:t>
      </w:r>
      <w:r w:rsidRPr="00A868DF">
        <w:rPr>
          <w:rFonts w:eastAsiaTheme="minorHAnsi" w:hint="eastAsia"/>
          <w:color w:val="000000" w:themeColor="text1"/>
          <w:szCs w:val="21"/>
        </w:rPr>
        <w:t>減税政策以外の政策を</w:t>
      </w:r>
      <w:r w:rsidR="006A0AAC">
        <w:rPr>
          <w:rFonts w:eastAsiaTheme="minorHAnsi" w:hint="eastAsia"/>
          <w:color w:val="000000" w:themeColor="text1"/>
          <w:szCs w:val="21"/>
        </w:rPr>
        <w:t>考慮に入れなかったこと</w:t>
      </w:r>
      <w:r>
        <w:rPr>
          <w:rFonts w:eastAsiaTheme="minorHAnsi" w:hint="eastAsia"/>
          <w:color w:val="000000" w:themeColor="text1"/>
          <w:szCs w:val="21"/>
        </w:rPr>
        <w:t>や</w:t>
      </w:r>
      <w:r w:rsidRPr="00210501">
        <w:rPr>
          <w:rFonts w:eastAsiaTheme="minorHAnsi" w:hint="eastAsia"/>
          <w:color w:val="000000" w:themeColor="text1"/>
          <w:szCs w:val="21"/>
        </w:rPr>
        <w:t>構造変化を明確に分析できるモデルとなっていないこと</w:t>
      </w:r>
      <w:r w:rsidRPr="00A868DF">
        <w:rPr>
          <w:rFonts w:eastAsiaTheme="minorHAnsi" w:hint="eastAsia"/>
          <w:color w:val="000000" w:themeColor="text1"/>
          <w:szCs w:val="21"/>
        </w:rPr>
        <w:t>から、より</w:t>
      </w:r>
      <w:r w:rsidR="006A0AAC">
        <w:rPr>
          <w:rFonts w:eastAsiaTheme="minorHAnsi" w:hint="eastAsia"/>
          <w:color w:val="000000" w:themeColor="text1"/>
          <w:szCs w:val="21"/>
        </w:rPr>
        <w:t>自動車購入という行為を正確に反映できる計量モデルへの修正が必要である</w:t>
      </w:r>
      <w:r w:rsidRPr="00A868DF">
        <w:rPr>
          <w:rFonts w:eastAsiaTheme="minorHAnsi" w:hint="eastAsia"/>
          <w:color w:val="000000" w:themeColor="text1"/>
          <w:szCs w:val="21"/>
        </w:rPr>
        <w:t>と認識した。</w:t>
      </w:r>
    </w:p>
    <w:p w14:paraId="3460D860" w14:textId="77777777" w:rsidR="00726A67" w:rsidRDefault="00726A67" w:rsidP="00726A67">
      <w:pPr>
        <w:rPr>
          <w:rFonts w:eastAsiaTheme="minorHAnsi"/>
          <w:color w:val="000000" w:themeColor="text1"/>
          <w:szCs w:val="21"/>
        </w:rPr>
      </w:pPr>
      <w:r>
        <w:rPr>
          <w:rFonts w:eastAsiaTheme="minorHAnsi" w:hint="eastAsia"/>
          <w:b/>
          <w:color w:val="000000" w:themeColor="text1"/>
          <w:szCs w:val="21"/>
        </w:rPr>
        <w:t xml:space="preserve">　</w:t>
      </w:r>
      <w:r w:rsidRPr="006A0AAC">
        <w:rPr>
          <w:rFonts w:eastAsiaTheme="minorHAnsi" w:hint="eastAsia"/>
          <w:color w:val="000000" w:themeColor="text1"/>
          <w:szCs w:val="21"/>
        </w:rPr>
        <w:t>また、今回の分析</w:t>
      </w:r>
      <w:r>
        <w:rPr>
          <w:rFonts w:eastAsiaTheme="minorHAnsi" w:hint="eastAsia"/>
          <w:color w:val="000000" w:themeColor="text1"/>
          <w:szCs w:val="21"/>
        </w:rPr>
        <w:t>結果として示されたのは、1974年から1999年までのガソリン需給構造と1974年から2016年までのガソリン需給構造の間に大きな変動がないということであった。この結果の考察に当たっては次の3つの可能性が考えられる。①そもそもエコカー市場の拡大とガソリン需要量はそれぞれ関係がない②関係性はあるものの、エコカー市場がガソリン需要構造を大きく変化させるまで拡大していない③関係性があり、エコカー市場の拡大がガソリン需要構造に変化をもたらしているものの、データの問題や分析手法などの問題から、実情と異なる結果が導出された。</w:t>
      </w:r>
    </w:p>
    <w:p w14:paraId="02599B05" w14:textId="77777777" w:rsidR="00726A67" w:rsidRDefault="00726A67" w:rsidP="00726A67">
      <w:pPr>
        <w:rPr>
          <w:rFonts w:eastAsiaTheme="minorHAnsi"/>
          <w:color w:val="000000" w:themeColor="text1"/>
          <w:szCs w:val="21"/>
        </w:rPr>
      </w:pPr>
      <w:r>
        <w:rPr>
          <w:rFonts w:eastAsiaTheme="minorHAnsi" w:hint="eastAsia"/>
          <w:color w:val="000000" w:themeColor="text1"/>
          <w:szCs w:val="21"/>
        </w:rPr>
        <w:t xml:space="preserve">　まず初めに、①の可能性は考えにくいと推察する。ガソリン需要のほとんどが自動車用途であり、ガソリン使用量が少ない自動車が普及することは明らかにガソリン需要を減少させると思われる。経済産業省の2020年までの「石油製品需要見通し」においても、ガソリン需要は11.8</w:t>
      </w:r>
      <w:r>
        <w:rPr>
          <w:rFonts w:eastAsiaTheme="minorHAnsi"/>
          <w:color w:val="000000" w:themeColor="text1"/>
          <w:szCs w:val="21"/>
        </w:rPr>
        <w:t>%</w:t>
      </w:r>
      <w:r>
        <w:rPr>
          <w:rFonts w:eastAsiaTheme="minorHAnsi" w:hint="eastAsia"/>
          <w:color w:val="000000" w:themeColor="text1"/>
          <w:szCs w:val="21"/>
        </w:rPr>
        <w:t>減少すると予測されており、将来的なガソリン需要量は減少していくと考えられている。これらの理由から、①のエコカーの普及とガソリン需要が無関係であるという可能性はきわめて小さいと思われる。</w:t>
      </w:r>
    </w:p>
    <w:p w14:paraId="429CAE83" w14:textId="77777777" w:rsidR="00726A67" w:rsidRDefault="00726A67" w:rsidP="00726A67">
      <w:pPr>
        <w:rPr>
          <w:rFonts w:eastAsiaTheme="minorHAnsi"/>
          <w:color w:val="000000" w:themeColor="text1"/>
          <w:szCs w:val="21"/>
        </w:rPr>
      </w:pPr>
      <w:r>
        <w:rPr>
          <w:rFonts w:eastAsiaTheme="minorHAnsi" w:hint="eastAsia"/>
          <w:color w:val="000000" w:themeColor="text1"/>
          <w:szCs w:val="21"/>
        </w:rPr>
        <w:t xml:space="preserve">　次に、②の可能性に関して検討を行う。この分析結果を解釈するにあたっては、この②の可能性が最も高いと考える。国土交通省の報告では、2013年3月末の時点でエコカー</w:t>
      </w:r>
    </w:p>
    <w:p w14:paraId="0FDFAB11" w14:textId="77777777" w:rsidR="00726A67" w:rsidRDefault="00726A67" w:rsidP="00726A67">
      <w:pPr>
        <w:rPr>
          <w:rFonts w:eastAsiaTheme="minorHAnsi"/>
          <w:color w:val="000000" w:themeColor="text1"/>
          <w:szCs w:val="21"/>
        </w:rPr>
      </w:pPr>
      <w:r>
        <w:rPr>
          <w:rFonts w:eastAsiaTheme="minorHAnsi" w:hint="eastAsia"/>
          <w:color w:val="000000" w:themeColor="text1"/>
          <w:szCs w:val="21"/>
        </w:rPr>
        <w:t>普及率は約11</w:t>
      </w:r>
      <w:r>
        <w:rPr>
          <w:rFonts w:eastAsiaTheme="minorHAnsi"/>
          <w:color w:val="000000" w:themeColor="text1"/>
          <w:szCs w:val="21"/>
        </w:rPr>
        <w:t>.1</w:t>
      </w:r>
      <w:r>
        <w:rPr>
          <w:rFonts w:eastAsiaTheme="minorHAnsi" w:hint="eastAsia"/>
          <w:color w:val="000000" w:themeColor="text1"/>
          <w:szCs w:val="21"/>
        </w:rPr>
        <w:t>%であると述べられており</w:t>
      </w:r>
      <w:r>
        <w:rPr>
          <w:rStyle w:val="a5"/>
          <w:rFonts w:eastAsiaTheme="minorHAnsi"/>
          <w:color w:val="000000" w:themeColor="text1"/>
          <w:szCs w:val="21"/>
        </w:rPr>
        <w:footnoteReference w:id="17"/>
      </w:r>
      <w:r>
        <w:rPr>
          <w:rFonts w:eastAsiaTheme="minorHAnsi" w:hint="eastAsia"/>
          <w:color w:val="000000" w:themeColor="text1"/>
          <w:szCs w:val="21"/>
        </w:rPr>
        <w:t>、さらに普及しているとされているエコカーの大部分は補助的に電気を使用し、主燃料としてはガソリンを用いるハイブリット車である。</w:t>
      </w:r>
      <w:r>
        <w:rPr>
          <w:rStyle w:val="a5"/>
          <w:rFonts w:eastAsiaTheme="minorHAnsi"/>
          <w:color w:val="000000" w:themeColor="text1"/>
          <w:szCs w:val="21"/>
        </w:rPr>
        <w:footnoteReference w:id="18"/>
      </w:r>
    </w:p>
    <w:p w14:paraId="12B25CA2" w14:textId="77777777" w:rsidR="00726A67" w:rsidRDefault="00726A67" w:rsidP="00726A67">
      <w:pPr>
        <w:ind w:firstLineChars="100" w:firstLine="210"/>
        <w:rPr>
          <w:rFonts w:eastAsiaTheme="minorHAnsi"/>
          <w:color w:val="000000" w:themeColor="text1"/>
          <w:szCs w:val="21"/>
        </w:rPr>
      </w:pPr>
      <w:r>
        <w:rPr>
          <w:rFonts w:eastAsiaTheme="minorHAnsi" w:hint="eastAsia"/>
          <w:color w:val="000000" w:themeColor="text1"/>
          <w:szCs w:val="21"/>
        </w:rPr>
        <w:t>つまり、現時点においてはエコカーの普及によるガソリンの消費量は大きく変動しているとは考えにくく、将来的に燃費効率がより一層向上したエコカーの普及や、一切の燃料を使用しない電気自動車が普及することによって、需要構造は大きく変動すると考えられる。</w:t>
      </w:r>
    </w:p>
    <w:p w14:paraId="5F9861D4" w14:textId="77777777" w:rsidR="00726A67" w:rsidRPr="003B6D85" w:rsidRDefault="00726A67" w:rsidP="00726A67">
      <w:pPr>
        <w:rPr>
          <w:rFonts w:eastAsiaTheme="minorHAnsi"/>
          <w:color w:val="000000" w:themeColor="text1"/>
          <w:szCs w:val="21"/>
        </w:rPr>
      </w:pPr>
      <w:r>
        <w:rPr>
          <w:rFonts w:eastAsiaTheme="minorHAnsi" w:hint="eastAsia"/>
          <w:color w:val="000000" w:themeColor="text1"/>
          <w:szCs w:val="21"/>
        </w:rPr>
        <w:t xml:space="preserve">　最後に、③の点を考察したい。まず考えられるのが、モデルで考慮されていない他の要因がガソリンの価格や取引量に影響を与えたという可能性である。ここでの他の要因とはリーマンショック、イラク戦争や日本の石油業自由化などを指している。こうした要素は被説明変数と説明変数の両方に入っていたり、説明変数に入っていたりしていないため「変数の</w:t>
      </w:r>
      <w:r>
        <w:rPr>
          <w:rFonts w:eastAsiaTheme="minorHAnsi" w:hint="eastAsia"/>
          <w:color w:val="000000" w:themeColor="text1"/>
          <w:szCs w:val="21"/>
        </w:rPr>
        <w:lastRenderedPageBreak/>
        <w:t>脱落」に至り、モデルの結果に偏差を生じさせたと考えられる。次に、データセットの整合性に欠陥がある可能性を指摘できる。特に、経済産業省・資源エネルギー庁の「エネルギー生産需給統計年報」にある「消費者向け販売統計」において企業と家計が同時に「消費者」に属しているのに対して総務省統計局の「小売物価統計調査（動向編）」によって算出したガソリンの平均価格は基本的に家計を調査対象にしたデータであり、比較対象にずれが生じている恐れがあると考えている。</w:t>
      </w:r>
    </w:p>
    <w:p w14:paraId="73EDFDF2" w14:textId="77777777" w:rsidR="00726A67" w:rsidRPr="00C34BCE" w:rsidRDefault="00726A67" w:rsidP="00726A67">
      <w:pPr>
        <w:rPr>
          <w:rFonts w:eastAsia="Times New Roman" w:cs="Times New Roman"/>
          <w:b/>
          <w:color w:val="000000" w:themeColor="text1"/>
          <w:szCs w:val="21"/>
        </w:rPr>
      </w:pPr>
    </w:p>
    <w:tbl>
      <w:tblPr>
        <w:tblStyle w:val="a6"/>
        <w:tblW w:w="0" w:type="auto"/>
        <w:jc w:val="center"/>
        <w:tblLook w:val="04A0" w:firstRow="1" w:lastRow="0" w:firstColumn="1" w:lastColumn="0" w:noHBand="0" w:noVBand="1"/>
      </w:tblPr>
      <w:tblGrid>
        <w:gridCol w:w="2868"/>
        <w:gridCol w:w="4601"/>
        <w:gridCol w:w="1025"/>
      </w:tblGrid>
      <w:tr w:rsidR="00726A67" w:rsidRPr="00C34BCE" w14:paraId="1FFF1C47" w14:textId="77777777" w:rsidTr="00726A67">
        <w:trPr>
          <w:jc w:val="center"/>
        </w:trPr>
        <w:tc>
          <w:tcPr>
            <w:tcW w:w="1740" w:type="dxa"/>
          </w:tcPr>
          <w:p w14:paraId="0C341764" w14:textId="77777777" w:rsidR="00726A67" w:rsidRPr="00C34BCE" w:rsidRDefault="00726A67" w:rsidP="00726A67">
            <w:pPr>
              <w:rPr>
                <w:rFonts w:eastAsia="Times New Roman" w:cs="Times New Roman"/>
                <w:color w:val="000000" w:themeColor="text1"/>
                <w:sz w:val="18"/>
                <w:szCs w:val="18"/>
                <w:shd w:val="clear" w:color="auto" w:fill="FFFFFF"/>
              </w:rPr>
            </w:pPr>
          </w:p>
        </w:tc>
        <w:tc>
          <w:tcPr>
            <w:tcW w:w="1660" w:type="dxa"/>
          </w:tcPr>
          <w:p w14:paraId="45720F26"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ガソリン規格</w:t>
            </w:r>
            <w:proofErr w:type="spellEnd"/>
          </w:p>
        </w:tc>
        <w:tc>
          <w:tcPr>
            <w:tcW w:w="1027" w:type="dxa"/>
          </w:tcPr>
          <w:p w14:paraId="43BC0B02"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対象</w:t>
            </w:r>
            <w:proofErr w:type="spellEnd"/>
          </w:p>
        </w:tc>
      </w:tr>
      <w:tr w:rsidR="00726A67" w:rsidRPr="00C34BCE" w14:paraId="4476FF52" w14:textId="77777777" w:rsidTr="00726A67">
        <w:trPr>
          <w:jc w:val="center"/>
        </w:trPr>
        <w:tc>
          <w:tcPr>
            <w:tcW w:w="1740" w:type="dxa"/>
          </w:tcPr>
          <w:p w14:paraId="18EC8D63"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qgaso</w:t>
            </w:r>
            <w:proofErr w:type="spellEnd"/>
            <w:r w:rsidRPr="00C34BCE">
              <w:rPr>
                <w:rFonts w:eastAsia="Times New Roman" w:cs="Times New Roman"/>
                <w:color w:val="000000" w:themeColor="text1"/>
                <w:sz w:val="18"/>
                <w:szCs w:val="18"/>
                <w:shd w:val="clear" w:color="auto" w:fill="FFFFFF"/>
              </w:rPr>
              <w:t>(</w:t>
            </w:r>
            <w:proofErr w:type="spellStart"/>
            <w:r w:rsidRPr="00C34BCE">
              <w:rPr>
                <w:rFonts w:eastAsia="Times New Roman" w:cs="Times New Roman"/>
                <w:color w:val="000000" w:themeColor="text1"/>
                <w:sz w:val="18"/>
                <w:szCs w:val="18"/>
                <w:shd w:val="clear" w:color="auto" w:fill="FFFFFF"/>
              </w:rPr>
              <w:t>エネルギー生産需給統計年報</w:t>
            </w:r>
            <w:proofErr w:type="spellEnd"/>
            <w:r w:rsidRPr="00C34BCE">
              <w:rPr>
                <w:rFonts w:eastAsia="Times New Roman" w:cs="Times New Roman"/>
                <w:color w:val="000000" w:themeColor="text1"/>
                <w:sz w:val="18"/>
                <w:szCs w:val="18"/>
                <w:shd w:val="clear" w:color="auto" w:fill="FFFFFF"/>
              </w:rPr>
              <w:t>)</w:t>
            </w:r>
          </w:p>
        </w:tc>
        <w:tc>
          <w:tcPr>
            <w:tcW w:w="1660" w:type="dxa"/>
          </w:tcPr>
          <w:p w14:paraId="45F8CE47"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レギュラ</w:t>
            </w:r>
            <w:proofErr w:type="spellEnd"/>
            <w:r w:rsidRPr="00C34BCE">
              <w:rPr>
                <w:rFonts w:eastAsia="Times New Roman" w:cs="Times New Roman"/>
                <w:color w:val="000000" w:themeColor="text1"/>
                <w:sz w:val="18"/>
                <w:szCs w:val="18"/>
                <w:shd w:val="clear" w:color="auto" w:fill="FFFFFF"/>
              </w:rPr>
              <w:t>ー、プレミアムなど一括（89年以前は「揮発油」）</w:t>
            </w:r>
          </w:p>
        </w:tc>
        <w:tc>
          <w:tcPr>
            <w:tcW w:w="1027" w:type="dxa"/>
          </w:tcPr>
          <w:p w14:paraId="750E6649"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企業、家計</w:t>
            </w:r>
            <w:proofErr w:type="spellEnd"/>
          </w:p>
        </w:tc>
      </w:tr>
      <w:tr w:rsidR="00726A67" w:rsidRPr="00C34BCE" w14:paraId="29E9BDE4" w14:textId="77777777" w:rsidTr="00726A67">
        <w:trPr>
          <w:jc w:val="center"/>
        </w:trPr>
        <w:tc>
          <w:tcPr>
            <w:tcW w:w="1740" w:type="dxa"/>
          </w:tcPr>
          <w:p w14:paraId="242DCFEC"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pgaso</w:t>
            </w:r>
            <w:proofErr w:type="spellEnd"/>
            <w:r w:rsidRPr="00C34BCE">
              <w:rPr>
                <w:rFonts w:eastAsia="Times New Roman" w:cs="Times New Roman"/>
                <w:color w:val="000000" w:themeColor="text1"/>
                <w:sz w:val="18"/>
                <w:szCs w:val="18"/>
                <w:shd w:val="clear" w:color="auto" w:fill="FFFFFF"/>
              </w:rPr>
              <w:t>(</w:t>
            </w:r>
            <w:proofErr w:type="spellStart"/>
            <w:r w:rsidRPr="00C34BCE">
              <w:rPr>
                <w:rFonts w:eastAsia="Times New Roman" w:cs="Times New Roman"/>
                <w:color w:val="000000" w:themeColor="text1"/>
                <w:sz w:val="18"/>
                <w:szCs w:val="18"/>
                <w:shd w:val="clear" w:color="auto" w:fill="FFFFFF"/>
              </w:rPr>
              <w:t>小売物価統計調査（動向編</w:t>
            </w:r>
            <w:proofErr w:type="spellEnd"/>
            <w:r w:rsidRPr="00C34BCE">
              <w:rPr>
                <w:rFonts w:eastAsia="Times New Roman" w:cs="Times New Roman"/>
                <w:color w:val="000000" w:themeColor="text1"/>
                <w:sz w:val="18"/>
                <w:szCs w:val="18"/>
                <w:shd w:val="clear" w:color="auto" w:fill="FFFFFF"/>
              </w:rPr>
              <w:t>）)</w:t>
            </w:r>
          </w:p>
        </w:tc>
        <w:tc>
          <w:tcPr>
            <w:tcW w:w="1660" w:type="dxa"/>
          </w:tcPr>
          <w:p w14:paraId="0C8E5021" w14:textId="77777777" w:rsidR="00726A67" w:rsidRPr="00C34BCE" w:rsidRDefault="00726A67" w:rsidP="00726A67">
            <w:pPr>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レギュラ</w:t>
            </w:r>
            <w:proofErr w:type="spellEnd"/>
            <w:r w:rsidRPr="00C34BCE">
              <w:rPr>
                <w:rFonts w:eastAsia="Times New Roman" w:cs="Times New Roman"/>
                <w:color w:val="000000" w:themeColor="text1"/>
                <w:sz w:val="18"/>
                <w:szCs w:val="18"/>
                <w:shd w:val="clear" w:color="auto" w:fill="FFFFFF"/>
              </w:rPr>
              <w:t>ー</w:t>
            </w:r>
          </w:p>
        </w:tc>
        <w:tc>
          <w:tcPr>
            <w:tcW w:w="1027" w:type="dxa"/>
          </w:tcPr>
          <w:p w14:paraId="4AA4A8BA" w14:textId="77777777" w:rsidR="00726A67" w:rsidRPr="00C34BCE" w:rsidRDefault="00726A67" w:rsidP="00726A67">
            <w:pPr>
              <w:keepNext/>
              <w:rPr>
                <w:rFonts w:eastAsia="Times New Roman" w:cs="Times New Roman"/>
                <w:color w:val="000000" w:themeColor="text1"/>
                <w:sz w:val="18"/>
                <w:szCs w:val="18"/>
                <w:shd w:val="clear" w:color="auto" w:fill="FFFFFF"/>
              </w:rPr>
            </w:pPr>
            <w:proofErr w:type="spellStart"/>
            <w:r w:rsidRPr="00C34BCE">
              <w:rPr>
                <w:rFonts w:eastAsia="Times New Roman" w:cs="Times New Roman"/>
                <w:color w:val="000000" w:themeColor="text1"/>
                <w:sz w:val="18"/>
                <w:szCs w:val="18"/>
                <w:shd w:val="clear" w:color="auto" w:fill="FFFFFF"/>
              </w:rPr>
              <w:t>家計</w:t>
            </w:r>
            <w:proofErr w:type="spellEnd"/>
          </w:p>
        </w:tc>
      </w:tr>
    </w:tbl>
    <w:p w14:paraId="072690E6" w14:textId="77777777" w:rsidR="00726A67" w:rsidRPr="00C34BCE" w:rsidRDefault="00726A67" w:rsidP="00726A67">
      <w:pPr>
        <w:pStyle w:val="af3"/>
        <w:jc w:val="center"/>
        <w:rPr>
          <w:rFonts w:eastAsia="Times New Roman" w:cs="Times New Roman"/>
          <w:color w:val="000000" w:themeColor="text1"/>
          <w:sz w:val="18"/>
          <w:szCs w:val="18"/>
          <w:shd w:val="clear" w:color="auto" w:fill="FFFFFF"/>
        </w:rPr>
      </w:pPr>
      <w:r>
        <w:t xml:space="preserve">Table </w:t>
      </w:r>
      <w:fldSimple w:instr=" SEQ Table \* ARABIC ">
        <w:r>
          <w:rPr>
            <w:noProof/>
          </w:rPr>
          <w:t>5</w:t>
        </w:r>
      </w:fldSimple>
      <w:r>
        <w:rPr>
          <w:rFonts w:hint="eastAsia"/>
        </w:rPr>
        <w:t xml:space="preserve">　価格供給指標比較</w:t>
      </w:r>
    </w:p>
    <w:p w14:paraId="6D917C74" w14:textId="77777777" w:rsidR="00726A67" w:rsidRDefault="00726A67" w:rsidP="00726A67">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加えて、長期間の時系列データを取り扱う際の統計基準の変動も問題点の一つとして指摘できる。特に、1989年以前のデータに関しては、同じ年でも年報ごとに記載が異なることがたびたび生じており、確報値の修正また、統計基準の改定が、長期間のデータの取り扱いを困難にしており、分析結果に影響を与えているのではないかと思われる。</w:t>
      </w:r>
    </w:p>
    <w:p w14:paraId="01605120" w14:textId="77777777" w:rsidR="00726A67" w:rsidRPr="0006285C" w:rsidRDefault="00726A67" w:rsidP="00726A67">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さらに、サンプルサイズの小ささも問題点の一つである。ここでは先行研究の二村(</w:t>
      </w:r>
      <w:r>
        <w:rPr>
          <w:rFonts w:asciiTheme="minorEastAsia" w:hAnsiTheme="minorEastAsia" w:cs="Times New Roman"/>
          <w:color w:val="000000" w:themeColor="text1"/>
          <w:szCs w:val="21"/>
        </w:rPr>
        <w:t>1999</w:t>
      </w:r>
      <w:r>
        <w:rPr>
          <w:rFonts w:asciiTheme="minorEastAsia" w:hAnsiTheme="minorEastAsia" w:cs="Times New Roman" w:hint="eastAsia"/>
          <w:color w:val="000000" w:themeColor="text1"/>
          <w:szCs w:val="21"/>
        </w:rPr>
        <w:t>)の手法にのっとり、年次データを用いた。しかしながらその際に月次データや四半期データを用いなかったために、サンプルサイズが小さな状態で分析を行ったことが問題であると認識している。</w:t>
      </w:r>
    </w:p>
    <w:p w14:paraId="6714EA27" w14:textId="77777777" w:rsidR="00726A67" w:rsidRPr="00C34BCE" w:rsidRDefault="00726A67" w:rsidP="00726A67">
      <w:pPr>
        <w:rPr>
          <w:rFonts w:cs="Times New Roman"/>
        </w:rPr>
      </w:pPr>
      <w:r w:rsidRPr="00C34BCE">
        <w:rPr>
          <w:rFonts w:cs="Times New Roman" w:hint="eastAsia"/>
        </w:rPr>
        <w:t xml:space="preserve">　本研究ではガソリン需給の構造変化及び価格弾力性の計測について</w:t>
      </w:r>
      <w:r w:rsidRPr="00C34BCE">
        <w:rPr>
          <w:rFonts w:cs="Times New Roman"/>
        </w:rPr>
        <w:t>VAR</w:t>
      </w:r>
      <w:r w:rsidRPr="00C34BCE">
        <w:rPr>
          <w:rFonts w:cs="Times New Roman" w:hint="eastAsia"/>
        </w:rPr>
        <w:t>モデルを活用して分析した。分析では、想定した仮説に反して、ガソリンの需給モデルにおいては大きな構造変化が生じたことは言えないという結論が得られた。これらの結果は、前章の考察に言及された三点の可能性があることを示し、今後の分析の進め方を考える上で、考慮すべき重要な論点になると考えられる。</w:t>
      </w:r>
    </w:p>
    <w:p w14:paraId="4DDC7478" w14:textId="0428FF40" w:rsidR="00726A67" w:rsidRPr="00726A67" w:rsidRDefault="00726A67" w:rsidP="00726A67">
      <w:pPr>
        <w:rPr>
          <w:rFonts w:cs="Times New Roman" w:hint="eastAsia"/>
        </w:rPr>
      </w:pPr>
      <w:r w:rsidRPr="00C34BCE">
        <w:rPr>
          <w:rFonts w:cs="Times New Roman" w:hint="eastAsia"/>
        </w:rPr>
        <w:t xml:space="preserve">　本事例研究には現状としてモデルやデータの適切性に対し、さらなる改善や修正を加えることを次のステップとして進める予定である。特に、</w:t>
      </w:r>
      <w:bookmarkStart w:id="34" w:name="OLE_LINK7"/>
      <w:bookmarkStart w:id="35" w:name="OLE_LINK8"/>
      <w:r w:rsidRPr="00F83BE7">
        <w:rPr>
          <w:rFonts w:cs="Times New Roman" w:hint="eastAsia"/>
        </w:rPr>
        <w:t>金本</w:t>
      </w:r>
      <w:r w:rsidRPr="00F83BE7">
        <w:rPr>
          <w:rFonts w:cs="Times New Roman"/>
        </w:rPr>
        <w:t>(2006)</w:t>
      </w:r>
      <w:r w:rsidRPr="00F83BE7">
        <w:rPr>
          <w:rFonts w:cs="Times New Roman" w:hint="eastAsia"/>
        </w:rPr>
        <w:t>型の二段階選択モデル</w:t>
      </w:r>
      <w:bookmarkEnd w:id="34"/>
      <w:bookmarkEnd w:id="35"/>
      <w:r w:rsidRPr="00F83BE7">
        <w:rPr>
          <w:rFonts w:cs="Times New Roman" w:hint="eastAsia"/>
        </w:rPr>
        <w:t>を選択肢した上で、</w:t>
      </w:r>
      <w:r w:rsidRPr="00C34BCE">
        <w:rPr>
          <w:rFonts w:cs="Times New Roman"/>
        </w:rPr>
        <w:t>Figure 16.</w:t>
      </w:r>
      <w:r w:rsidRPr="00C34BCE">
        <w:rPr>
          <w:rFonts w:cs="Times New Roman" w:hint="eastAsia"/>
        </w:rPr>
        <w:t>で指摘したガソリン価格・販売量データにおける整合性の課題に対し、総務省統計局「家計調査」にあるレギュラーガソリンの消費量（消費額／価格で推定する）を試す予定であり、また、サンプル数が少ないことやモデルの適切性に問題がある課題に対し、大きな戦争やショックがある時期を除いて、サンプル数の少ない年次データより、高い頻度の月次データ</w:t>
      </w:r>
      <w:r>
        <w:rPr>
          <w:rStyle w:val="a5"/>
          <w:rFonts w:cs="Times New Roman"/>
        </w:rPr>
        <w:footnoteReference w:id="19"/>
      </w:r>
      <w:r>
        <w:rPr>
          <w:rFonts w:cs="Times New Roman" w:hint="eastAsia"/>
        </w:rPr>
        <w:t>で</w:t>
      </w:r>
      <w:r w:rsidRPr="00C34BCE">
        <w:rPr>
          <w:rFonts w:cs="Times New Roman" w:hint="eastAsia"/>
        </w:rPr>
        <w:t>階差モデルを用いて、外生的な強い影響を取り除くことで分</w:t>
      </w:r>
      <w:r w:rsidRPr="00C34BCE">
        <w:rPr>
          <w:rFonts w:cs="Times New Roman" w:hint="eastAsia"/>
        </w:rPr>
        <w:lastRenderedPageBreak/>
        <w:t>析の精度を向上させていきたいと考えている。</w:t>
      </w:r>
    </w:p>
    <w:p w14:paraId="1D6D0D4B" w14:textId="77777777" w:rsidR="00726A67" w:rsidRPr="003043AD" w:rsidRDefault="00726A67" w:rsidP="00726A67">
      <w:pPr>
        <w:rPr>
          <w:rFonts w:eastAsiaTheme="minorHAnsi"/>
          <w:b/>
          <w:color w:val="000000" w:themeColor="text1"/>
          <w:szCs w:val="21"/>
        </w:rPr>
      </w:pPr>
      <w:r w:rsidRPr="003043AD">
        <w:rPr>
          <w:rFonts w:eastAsiaTheme="minorHAnsi"/>
          <w:b/>
          <w:color w:val="000000" w:themeColor="text1"/>
          <w:szCs w:val="21"/>
        </w:rPr>
        <w:t>謝辞</w:t>
      </w:r>
    </w:p>
    <w:p w14:paraId="7BA3A6B9" w14:textId="77777777" w:rsidR="00726A67" w:rsidRPr="003043AD" w:rsidRDefault="00726A67" w:rsidP="00726A67">
      <w:pPr>
        <w:rPr>
          <w:rFonts w:eastAsiaTheme="minorHAnsi"/>
          <w:color w:val="000000" w:themeColor="text1"/>
          <w:szCs w:val="21"/>
        </w:rPr>
      </w:pPr>
      <w:r w:rsidRPr="003043AD">
        <w:rPr>
          <w:rFonts w:eastAsiaTheme="minorHAnsi"/>
          <w:color w:val="000000" w:themeColor="text1"/>
          <w:szCs w:val="21"/>
        </w:rPr>
        <w:t xml:space="preserve"> 本稿の執筆にあたっては、指導教官である東京大学公</w:t>
      </w:r>
      <w:r w:rsidRPr="003043AD">
        <w:rPr>
          <w:rFonts w:eastAsiaTheme="minorHAnsi" w:hint="eastAsia"/>
          <w:color w:val="000000" w:themeColor="text1"/>
          <w:szCs w:val="21"/>
        </w:rPr>
        <w:t>共政策大学院の戒能一成先生、松村敏弘先生の両氏から、授業内外問わず懇切丁寧なご指導を頂いた。</w:t>
      </w:r>
    </w:p>
    <w:p w14:paraId="503FF50D" w14:textId="77777777" w:rsidR="00726A67" w:rsidRPr="003043AD" w:rsidRDefault="00726A67" w:rsidP="00726A67">
      <w:pPr>
        <w:rPr>
          <w:rFonts w:eastAsiaTheme="minorHAnsi"/>
          <w:color w:val="000000" w:themeColor="text1"/>
          <w:szCs w:val="21"/>
        </w:rPr>
      </w:pPr>
      <w:r w:rsidRPr="003043AD">
        <w:rPr>
          <w:rFonts w:eastAsiaTheme="minorHAnsi" w:hint="eastAsia"/>
          <w:color w:val="000000" w:themeColor="text1"/>
          <w:szCs w:val="21"/>
        </w:rPr>
        <w:t>著者らの実力不足で、モデルの選択や分析結果の考察でつまずく場面もあったが、両氏のお力添えのおかげで研究を前進させることができた。この場を借りて両氏に厚く御礼申し上げたい。</w:t>
      </w:r>
      <w:r w:rsidRPr="003043AD">
        <w:rPr>
          <w:rFonts w:eastAsiaTheme="minorHAnsi"/>
          <w:color w:val="000000" w:themeColor="text1"/>
          <w:szCs w:val="21"/>
        </w:rPr>
        <w:t xml:space="preserve"> </w:t>
      </w:r>
    </w:p>
    <w:p w14:paraId="40A8D8A7" w14:textId="77777777" w:rsidR="00726A67" w:rsidRPr="003043AD" w:rsidRDefault="00726A67" w:rsidP="00726A67">
      <w:pPr>
        <w:rPr>
          <w:rFonts w:eastAsiaTheme="minorHAnsi"/>
          <w:color w:val="000000" w:themeColor="text1"/>
          <w:szCs w:val="21"/>
        </w:rPr>
      </w:pPr>
      <w:r w:rsidRPr="003043AD">
        <w:rPr>
          <w:rFonts w:eastAsiaTheme="minorHAnsi"/>
          <w:color w:val="000000" w:themeColor="text1"/>
          <w:szCs w:val="21"/>
        </w:rPr>
        <w:t xml:space="preserve"> なお、</w:t>
      </w:r>
      <w:r w:rsidRPr="003043AD">
        <w:rPr>
          <w:rFonts w:eastAsiaTheme="minorHAnsi" w:hint="eastAsia"/>
          <w:color w:val="000000" w:themeColor="text1"/>
          <w:szCs w:val="21"/>
        </w:rPr>
        <w:t>本研究における分析結果や考察は全て筆者ら個人の見解であり、</w:t>
      </w:r>
      <w:r w:rsidRPr="003043AD">
        <w:rPr>
          <w:rFonts w:eastAsiaTheme="minorHAnsi"/>
          <w:color w:val="000000" w:themeColor="text1"/>
          <w:szCs w:val="21"/>
        </w:rPr>
        <w:t>本稿における誤りは、当然ながら筆者</w:t>
      </w:r>
      <w:r w:rsidRPr="003043AD">
        <w:rPr>
          <w:rFonts w:eastAsiaTheme="minorHAnsi" w:hint="eastAsia"/>
          <w:color w:val="000000" w:themeColor="text1"/>
          <w:szCs w:val="21"/>
        </w:rPr>
        <w:t>ら</w:t>
      </w:r>
      <w:r w:rsidRPr="003043AD">
        <w:rPr>
          <w:rFonts w:eastAsiaTheme="minorHAnsi"/>
          <w:color w:val="000000" w:themeColor="text1"/>
          <w:szCs w:val="21"/>
        </w:rPr>
        <w:t xml:space="preserve">のみに帰する。  </w:t>
      </w:r>
    </w:p>
    <w:p w14:paraId="288C4BD9" w14:textId="77777777" w:rsidR="00726A67" w:rsidRPr="003043AD" w:rsidRDefault="00726A67" w:rsidP="00726A67">
      <w:pPr>
        <w:rPr>
          <w:rFonts w:eastAsiaTheme="minorHAnsi"/>
          <w:color w:val="000000" w:themeColor="text1"/>
          <w:szCs w:val="21"/>
        </w:rPr>
      </w:pPr>
    </w:p>
    <w:p w14:paraId="29467AC2" w14:textId="77777777" w:rsidR="00726A67" w:rsidRPr="003043AD" w:rsidRDefault="00726A67" w:rsidP="00726A67">
      <w:pPr>
        <w:jc w:val="right"/>
        <w:rPr>
          <w:rFonts w:eastAsiaTheme="minorHAnsi"/>
          <w:color w:val="000000" w:themeColor="text1"/>
          <w:szCs w:val="21"/>
          <w:lang w:eastAsia="zh-CN"/>
        </w:rPr>
      </w:pPr>
      <w:r w:rsidRPr="003043AD">
        <w:rPr>
          <w:rFonts w:eastAsiaTheme="minorHAnsi" w:hint="eastAsia"/>
          <w:color w:val="000000" w:themeColor="text1"/>
          <w:szCs w:val="21"/>
          <w:lang w:eastAsia="zh-CN"/>
        </w:rPr>
        <w:t>平成2</w:t>
      </w:r>
      <w:r w:rsidRPr="003043AD">
        <w:rPr>
          <w:rFonts w:eastAsiaTheme="minorHAnsi"/>
          <w:color w:val="000000" w:themeColor="text1"/>
          <w:szCs w:val="21"/>
          <w:lang w:eastAsia="zh-CN"/>
        </w:rPr>
        <w:t>9年</w:t>
      </w:r>
      <w:r w:rsidRPr="003043AD">
        <w:rPr>
          <w:rFonts w:eastAsiaTheme="minorHAnsi" w:hint="eastAsia"/>
          <w:color w:val="000000" w:themeColor="text1"/>
          <w:szCs w:val="21"/>
          <w:lang w:eastAsia="zh-CN"/>
        </w:rPr>
        <w:t>8</w:t>
      </w:r>
      <w:r w:rsidRPr="003043AD">
        <w:rPr>
          <w:rFonts w:eastAsiaTheme="minorHAnsi"/>
          <w:color w:val="000000" w:themeColor="text1"/>
          <w:szCs w:val="21"/>
          <w:lang w:eastAsia="zh-CN"/>
        </w:rPr>
        <w:t>月7</w:t>
      </w:r>
      <w:r w:rsidRPr="003043AD">
        <w:rPr>
          <w:rFonts w:eastAsiaTheme="minorHAnsi" w:hint="eastAsia"/>
          <w:color w:val="000000" w:themeColor="text1"/>
          <w:szCs w:val="21"/>
          <w:lang w:eastAsia="zh-CN"/>
        </w:rPr>
        <w:t>日</w:t>
      </w:r>
      <w:r w:rsidRPr="003043AD">
        <w:rPr>
          <w:rFonts w:eastAsiaTheme="minorHAnsi"/>
          <w:color w:val="000000" w:themeColor="text1"/>
          <w:szCs w:val="21"/>
          <w:lang w:eastAsia="zh-CN"/>
        </w:rPr>
        <w:t xml:space="preserve"> 筆者一</w:t>
      </w:r>
      <w:r w:rsidRPr="003043AD">
        <w:rPr>
          <w:rFonts w:eastAsiaTheme="minorHAnsi" w:hint="eastAsia"/>
          <w:color w:val="000000" w:themeColor="text1"/>
          <w:szCs w:val="21"/>
          <w:lang w:eastAsia="zh-CN"/>
        </w:rPr>
        <w:t>同</w:t>
      </w:r>
    </w:p>
    <w:p w14:paraId="0FE01D6D" w14:textId="77777777" w:rsidR="00726A67" w:rsidRPr="00BD2690" w:rsidRDefault="00726A67" w:rsidP="00726A67">
      <w:pPr>
        <w:rPr>
          <w:rFonts w:eastAsia="DengXian"/>
          <w:color w:val="FF0000"/>
          <w:szCs w:val="21"/>
          <w:lang w:eastAsia="zh-CN"/>
        </w:rPr>
      </w:pPr>
    </w:p>
    <w:p w14:paraId="23D593E0" w14:textId="77777777" w:rsidR="00726A67" w:rsidRPr="003043AD" w:rsidRDefault="00726A67" w:rsidP="00726A67">
      <w:pPr>
        <w:rPr>
          <w:rFonts w:eastAsiaTheme="minorHAnsi"/>
          <w:b/>
          <w:color w:val="000000" w:themeColor="text1"/>
          <w:szCs w:val="21"/>
          <w:lang w:eastAsia="zh-CN"/>
        </w:rPr>
      </w:pPr>
      <w:r w:rsidRPr="003043AD">
        <w:rPr>
          <w:rFonts w:eastAsiaTheme="minorHAnsi"/>
          <w:b/>
          <w:color w:val="000000" w:themeColor="text1"/>
          <w:szCs w:val="21"/>
          <w:lang w:eastAsia="zh-CN"/>
        </w:rPr>
        <w:t>参考文献</w:t>
      </w:r>
    </w:p>
    <w:p w14:paraId="5396B178" w14:textId="77777777" w:rsidR="00726A67" w:rsidRDefault="00726A67" w:rsidP="00726A67">
      <w:pPr>
        <w:rPr>
          <w:bCs/>
          <w:i/>
        </w:rPr>
      </w:pPr>
      <w:r w:rsidRPr="003C67BE">
        <w:rPr>
          <w:bCs/>
        </w:rPr>
        <w:t>IEA</w:t>
      </w:r>
      <w:r>
        <w:rPr>
          <w:bCs/>
        </w:rPr>
        <w:t>(</w:t>
      </w:r>
      <w:r>
        <w:rPr>
          <w:rFonts w:hint="eastAsia"/>
        </w:rPr>
        <w:t>20</w:t>
      </w:r>
      <w:r>
        <w:t xml:space="preserve">16) </w:t>
      </w:r>
      <w:r>
        <w:rPr>
          <w:bCs/>
          <w:i/>
        </w:rPr>
        <w:t>World Energy Outlook.</w:t>
      </w:r>
    </w:p>
    <w:p w14:paraId="5723322B" w14:textId="77777777" w:rsidR="00726A67" w:rsidRDefault="00726A67" w:rsidP="00726A67">
      <w:r>
        <w:rPr>
          <w:rFonts w:hint="eastAsia"/>
        </w:rPr>
        <w:t>I</w:t>
      </w:r>
      <w:r>
        <w:t>EEJ(2017)</w:t>
      </w:r>
      <w:r>
        <w:rPr>
          <w:rFonts w:hint="eastAsia"/>
        </w:rPr>
        <w:t>『2017年内外エネルギー情勢の展望』。</w:t>
      </w:r>
    </w:p>
    <w:p w14:paraId="026A6612" w14:textId="132DCD66" w:rsidR="00726A67" w:rsidRPr="007E78A0" w:rsidRDefault="00726A67" w:rsidP="00726A67">
      <w:r>
        <w:rPr>
          <w:rFonts w:hint="eastAsia"/>
        </w:rPr>
        <w:t>川瀬晃弘(</w:t>
      </w:r>
      <w:r>
        <w:t>2008</w:t>
      </w:r>
      <w:r>
        <w:rPr>
          <w:rFonts w:hint="eastAsia"/>
        </w:rPr>
        <w:t>)『最適課税論からみたガソリン税率：日米英比較』東洋大学。</w:t>
      </w:r>
    </w:p>
    <w:p w14:paraId="46DA6A6D" w14:textId="77777777" w:rsidR="00726A67" w:rsidRPr="003043AD" w:rsidRDefault="00726A67" w:rsidP="00726A67">
      <w:pPr>
        <w:rPr>
          <w:rFonts w:eastAsiaTheme="minorHAnsi"/>
          <w:color w:val="000000" w:themeColor="text1"/>
          <w:szCs w:val="21"/>
        </w:rPr>
      </w:pPr>
      <w:r w:rsidRPr="003043AD">
        <w:rPr>
          <w:rFonts w:eastAsiaTheme="minorHAnsi" w:hint="eastAsia"/>
          <w:color w:val="000000" w:themeColor="text1"/>
          <w:szCs w:val="21"/>
        </w:rPr>
        <w:t>二村真理子(1999)「地球温暖化問題と自動車交通ー税制のグリーン化と二酸化炭素排出削減ー」日本交通学会1999年研究年報</w:t>
      </w:r>
    </w:p>
    <w:p w14:paraId="44319FAE" w14:textId="77777777" w:rsidR="00726A67" w:rsidRDefault="00726A67" w:rsidP="00726A67">
      <w:pPr>
        <w:rPr>
          <w:rFonts w:eastAsiaTheme="minorHAnsi"/>
          <w:color w:val="000000" w:themeColor="text1"/>
          <w:szCs w:val="21"/>
        </w:rPr>
      </w:pPr>
      <w:r w:rsidRPr="003043AD">
        <w:rPr>
          <w:rFonts w:eastAsiaTheme="minorHAnsi" w:hint="eastAsia"/>
          <w:color w:val="000000" w:themeColor="text1"/>
          <w:szCs w:val="21"/>
        </w:rPr>
        <w:t>二村真理子(2000)「自動車交通に関する二酸化炭素排出抑制」公益事業研究第51巻第2号</w:t>
      </w:r>
    </w:p>
    <w:p w14:paraId="3EC7BD03" w14:textId="77777777" w:rsidR="00726A67" w:rsidRDefault="00726A67" w:rsidP="00726A67">
      <w:r>
        <w:rPr>
          <w:rFonts w:hint="eastAsia"/>
        </w:rPr>
        <w:t>柳澤明(</w:t>
      </w:r>
      <w:r>
        <w:t>2007</w:t>
      </w:r>
      <w:r>
        <w:rPr>
          <w:rFonts w:hint="eastAsia"/>
        </w:rPr>
        <w:t>)『ガソリン価格の高騰は消費様式を変化させたか』IEEJ。</w:t>
      </w:r>
    </w:p>
    <w:p w14:paraId="0FAAFE06" w14:textId="77777777" w:rsidR="00726A67" w:rsidRDefault="00726A67" w:rsidP="00726A67">
      <w:pPr>
        <w:pStyle w:val="a3"/>
      </w:pPr>
      <w:r>
        <w:rPr>
          <w:rFonts w:hint="eastAsia"/>
        </w:rPr>
        <w:t>経済産業省・資源エネルギー庁資源・燃料部(</w:t>
      </w:r>
      <w:r>
        <w:t>2014</w:t>
      </w:r>
      <w:r>
        <w:rPr>
          <w:rFonts w:hint="eastAsia"/>
        </w:rPr>
        <w:t>)『石油産業の現状と課題』、(参照2017-8-5)</w:t>
      </w:r>
    </w:p>
    <w:p w14:paraId="2DDFEF2B" w14:textId="77777777" w:rsidR="00726A67" w:rsidRDefault="00726A67" w:rsidP="00726A67">
      <w:pPr>
        <w:pStyle w:val="a3"/>
        <w:rPr>
          <w:rStyle w:val="af2"/>
        </w:rPr>
      </w:pPr>
      <w:hyperlink r:id="rId21" w:history="1">
        <w:r w:rsidRPr="00853ED8">
          <w:rPr>
            <w:rStyle w:val="af2"/>
          </w:rPr>
          <w:t>http://www.meti.go.jp/committee/sougouenergy/shigen_nenryo/sekiyu_gas/pdf/001_03_00.pdf</w:t>
        </w:r>
      </w:hyperlink>
    </w:p>
    <w:p w14:paraId="02E706F0" w14:textId="77777777" w:rsidR="00726A67" w:rsidRDefault="00726A67" w:rsidP="00726A67">
      <w:pPr>
        <w:pStyle w:val="a3"/>
      </w:pPr>
      <w:r>
        <w:rPr>
          <w:rFonts w:hint="eastAsia"/>
        </w:rPr>
        <w:t>経済産業省製造産業局自動車課(</w:t>
      </w:r>
      <w:r>
        <w:t>2015</w:t>
      </w:r>
      <w:r>
        <w:rPr>
          <w:rFonts w:hint="eastAsia"/>
        </w:rPr>
        <w:t>)『自動車産業を巡る構造変化とその対応について』(</w:t>
      </w:r>
      <w:r>
        <w:t>2017-8-4</w:t>
      </w:r>
      <w:r>
        <w:rPr>
          <w:rFonts w:hint="eastAsia"/>
        </w:rPr>
        <w:t>参照)。</w:t>
      </w:r>
      <w:hyperlink r:id="rId22" w:history="1">
        <w:r w:rsidRPr="00853ED8">
          <w:rPr>
            <w:rStyle w:val="af2"/>
          </w:rPr>
          <w:t>http://www.meti.go.jp/policy/economy/keiei_innovation/sangyokinyu/GB/04.pdf</w:t>
        </w:r>
      </w:hyperlink>
    </w:p>
    <w:p w14:paraId="7401CF25" w14:textId="77777777" w:rsidR="00726A67" w:rsidRPr="007E78A0" w:rsidRDefault="00726A67" w:rsidP="00726A67">
      <w:pPr>
        <w:rPr>
          <w:rFonts w:eastAsiaTheme="minorHAnsi"/>
          <w:color w:val="000000" w:themeColor="text1"/>
          <w:szCs w:val="21"/>
        </w:rPr>
      </w:pPr>
      <w:r>
        <w:rPr>
          <w:rFonts w:hint="eastAsia"/>
        </w:rPr>
        <w:t>経済産業省製造産業局自動車課(</w:t>
      </w:r>
      <w:r>
        <w:t>2013</w:t>
      </w:r>
      <w:r>
        <w:rPr>
          <w:rFonts w:hint="eastAsia"/>
        </w:rPr>
        <w:t>)『次世代自動車普及に向けた国の取組について』(</w:t>
      </w:r>
      <w:r>
        <w:t>2017-8-4</w:t>
      </w:r>
      <w:r>
        <w:rPr>
          <w:rFonts w:hint="eastAsia"/>
        </w:rPr>
        <w:t>参照)。</w:t>
      </w:r>
      <w:hyperlink r:id="rId23" w:history="1">
        <w:r w:rsidRPr="00853ED8">
          <w:rPr>
            <w:rStyle w:val="af2"/>
          </w:rPr>
          <w:t>http://www.cev-pc.or.jp/event/pdf_tokyo/tokyo01.pdf</w:t>
        </w:r>
      </w:hyperlink>
    </w:p>
    <w:p w14:paraId="0474B3DC" w14:textId="77777777" w:rsidR="00726A67" w:rsidRDefault="00726A67" w:rsidP="00726A67">
      <w:pPr>
        <w:pStyle w:val="a3"/>
      </w:pPr>
      <w:r>
        <w:rPr>
          <w:rFonts w:hint="eastAsia"/>
        </w:rPr>
        <w:t>環境省(</w:t>
      </w:r>
      <w:r>
        <w:t>2010</w:t>
      </w:r>
      <w:r>
        <w:rPr>
          <w:rFonts w:hint="eastAsia"/>
        </w:rPr>
        <w:t>)『主要国のエコカー戦略』(</w:t>
      </w:r>
      <w:r>
        <w:t>2017-8-3</w:t>
      </w:r>
      <w:r>
        <w:rPr>
          <w:rFonts w:hint="eastAsia"/>
        </w:rPr>
        <w:t>参照)</w:t>
      </w:r>
    </w:p>
    <w:p w14:paraId="0C24BB3E" w14:textId="77777777" w:rsidR="00726A67" w:rsidRDefault="00726A67" w:rsidP="00726A67">
      <w:pPr>
        <w:rPr>
          <w:rStyle w:val="af2"/>
        </w:rPr>
      </w:pPr>
      <w:hyperlink r:id="rId24" w:history="1">
        <w:r w:rsidRPr="00853ED8">
          <w:rPr>
            <w:rStyle w:val="af2"/>
          </w:rPr>
          <w:t>http://www.env.go.jp/earth/ondanka/mlt_roadmap/comm/com02-02/mat05.pdf</w:t>
        </w:r>
      </w:hyperlink>
    </w:p>
    <w:p w14:paraId="782FF577" w14:textId="77777777" w:rsidR="00726A67" w:rsidRDefault="00726A67" w:rsidP="00726A67">
      <w:pPr>
        <w:pStyle w:val="a3"/>
      </w:pPr>
      <w:r>
        <w:rPr>
          <w:rFonts w:hint="eastAsia"/>
        </w:rPr>
        <w:t>環境省(</w:t>
      </w:r>
      <w:r>
        <w:t>2012</w:t>
      </w:r>
      <w:r>
        <w:rPr>
          <w:rFonts w:hint="eastAsia"/>
        </w:rPr>
        <w:t>)「地球温暖化対策のための税の導入」(</w:t>
      </w:r>
      <w:r>
        <w:t>2017-8-5</w:t>
      </w:r>
      <w:r>
        <w:rPr>
          <w:rFonts w:hint="eastAsia"/>
        </w:rPr>
        <w:t>参照)</w:t>
      </w:r>
    </w:p>
    <w:p w14:paraId="62E8BC0E" w14:textId="77777777" w:rsidR="00726A67" w:rsidRPr="003E79D6" w:rsidRDefault="00726A67" w:rsidP="00726A67">
      <w:pPr>
        <w:pStyle w:val="a3"/>
        <w:rPr>
          <w:rStyle w:val="af2"/>
          <w:color w:val="auto"/>
          <w:u w:val="none"/>
        </w:rPr>
      </w:pPr>
      <w:hyperlink r:id="rId25" w:history="1">
        <w:r w:rsidRPr="003E79D6">
          <w:rPr>
            <w:rStyle w:val="af2"/>
            <w:color w:val="auto"/>
          </w:rPr>
          <w:t>http://www.env.go.jp/policy/tax/about.html</w:t>
        </w:r>
      </w:hyperlink>
    </w:p>
    <w:p w14:paraId="15835F99" w14:textId="77777777" w:rsidR="00726A67" w:rsidRDefault="00726A67" w:rsidP="00726A67">
      <w:pPr>
        <w:rPr>
          <w:lang w:eastAsia="zh-CN"/>
        </w:rPr>
      </w:pPr>
      <w:r>
        <w:rPr>
          <w:rFonts w:hint="eastAsia"/>
          <w:lang w:eastAsia="zh-CN"/>
        </w:rPr>
        <w:t>国土交通省(</w:t>
      </w:r>
      <w:r>
        <w:rPr>
          <w:lang w:eastAsia="zh-CN"/>
        </w:rPr>
        <w:t>2013</w:t>
      </w:r>
      <w:r>
        <w:rPr>
          <w:rFonts w:hint="eastAsia"/>
          <w:lang w:eastAsia="zh-CN"/>
        </w:rPr>
        <w:t>)『平成25年3月末現在低公害車普及状況』(</w:t>
      </w:r>
      <w:r>
        <w:rPr>
          <w:lang w:eastAsia="zh-CN"/>
        </w:rPr>
        <w:t>2013</w:t>
      </w:r>
      <w:r>
        <w:rPr>
          <w:rFonts w:hint="eastAsia"/>
          <w:lang w:eastAsia="zh-CN"/>
        </w:rPr>
        <w:t>)</w:t>
      </w:r>
    </w:p>
    <w:p w14:paraId="6BF72362" w14:textId="2F21F5D4" w:rsidR="00726A67" w:rsidRDefault="00726A67" w:rsidP="00726A67">
      <w:pPr>
        <w:pStyle w:val="a3"/>
        <w:rPr>
          <w:rStyle w:val="af2"/>
        </w:rPr>
      </w:pPr>
      <w:hyperlink r:id="rId26" w:history="1">
        <w:r w:rsidRPr="00B71679">
          <w:rPr>
            <w:rStyle w:val="af2"/>
          </w:rPr>
          <w:t>http://wwwtb.mlit.go.jp/tohoku/kk/ecocar130331.pdf</w:t>
        </w:r>
      </w:hyperlink>
    </w:p>
    <w:p w14:paraId="44E0913E" w14:textId="77777777" w:rsidR="003E79D6" w:rsidRPr="009D211E" w:rsidRDefault="003E79D6" w:rsidP="00726A67">
      <w:pPr>
        <w:pStyle w:val="a3"/>
        <w:rPr>
          <w:rStyle w:val="af2"/>
          <w:color w:val="auto"/>
          <w:u w:val="none"/>
        </w:rPr>
      </w:pPr>
    </w:p>
    <w:p w14:paraId="0315464A" w14:textId="77777777" w:rsidR="00726A67" w:rsidRDefault="00726A67" w:rsidP="00726A67">
      <w:r>
        <w:rPr>
          <w:rFonts w:hint="eastAsia"/>
        </w:rPr>
        <w:lastRenderedPageBreak/>
        <w:t>財務省「揮発油税等の概要」(</w:t>
      </w:r>
      <w:r>
        <w:t>2017-8-5</w:t>
      </w:r>
      <w:r>
        <w:rPr>
          <w:rFonts w:hint="eastAsia"/>
        </w:rPr>
        <w:t>参照)</w:t>
      </w:r>
    </w:p>
    <w:p w14:paraId="1E74E0EC" w14:textId="6E73963A" w:rsidR="003E79D6" w:rsidRDefault="00726A67" w:rsidP="00726A67">
      <w:pPr>
        <w:rPr>
          <w:rStyle w:val="af2"/>
        </w:rPr>
      </w:pPr>
      <w:hyperlink r:id="rId27" w:history="1">
        <w:r w:rsidRPr="00287A64">
          <w:rPr>
            <w:rStyle w:val="af2"/>
          </w:rPr>
          <w:t>http://www.mof.go.jp/tax_policy/summary/consumption/132.htm</w:t>
        </w:r>
      </w:hyperlink>
    </w:p>
    <w:p w14:paraId="63572382" w14:textId="0A7B2E30" w:rsidR="003E79D6" w:rsidRPr="003E79D6" w:rsidRDefault="003E79D6" w:rsidP="00726A67">
      <w:pPr>
        <w:rPr>
          <w:rStyle w:val="af2"/>
          <w:rFonts w:hint="eastAsia"/>
          <w:color w:val="auto"/>
          <w:u w:val="none"/>
        </w:rPr>
      </w:pPr>
      <w:r>
        <w:rPr>
          <w:rStyle w:val="af2"/>
          <w:rFonts w:hint="eastAsia"/>
          <w:color w:val="auto"/>
          <w:u w:val="none"/>
        </w:rPr>
        <w:t>石油連盟(</w:t>
      </w:r>
      <w:r>
        <w:rPr>
          <w:rStyle w:val="af2"/>
          <w:color w:val="auto"/>
          <w:u w:val="none"/>
        </w:rPr>
        <w:t>2016)</w:t>
      </w:r>
      <w:r>
        <w:rPr>
          <w:rStyle w:val="af2"/>
          <w:rFonts w:hint="eastAsia"/>
          <w:color w:val="auto"/>
          <w:u w:val="none"/>
        </w:rPr>
        <w:t>『今日の石油産業2016』。</w:t>
      </w:r>
      <w:bookmarkStart w:id="36" w:name="_GoBack"/>
      <w:bookmarkEnd w:id="36"/>
    </w:p>
    <w:p w14:paraId="54DDB5F1" w14:textId="77777777" w:rsidR="00726A67" w:rsidRDefault="00726A67" w:rsidP="00726A67">
      <w:r>
        <w:rPr>
          <w:rFonts w:hint="eastAsia"/>
        </w:rPr>
        <w:t>『日本経済新聞』2017年7月28日朝刊「ガソリン需要鈍化懸念、原油相場上昇の重荷」</w:t>
      </w:r>
    </w:p>
    <w:p w14:paraId="5899B684" w14:textId="77777777" w:rsidR="00726A67" w:rsidRDefault="00726A67" w:rsidP="00726A67">
      <w:r>
        <w:rPr>
          <w:rFonts w:hint="eastAsia"/>
        </w:rPr>
        <w:t>『日経ビジネス』2014「環境規制の抜け道が、日本のクルマを重くした」</w:t>
      </w:r>
    </w:p>
    <w:p w14:paraId="1BFBC93C" w14:textId="77777777" w:rsidR="00726A67" w:rsidRDefault="00726A67" w:rsidP="00726A67">
      <w:pPr>
        <w:rPr>
          <w:rFonts w:eastAsiaTheme="minorHAnsi"/>
          <w:color w:val="000000" w:themeColor="text1"/>
          <w:szCs w:val="21"/>
        </w:rPr>
      </w:pPr>
      <w:hyperlink r:id="rId28" w:history="1">
        <w:r w:rsidRPr="00B71679">
          <w:rPr>
            <w:rStyle w:val="af2"/>
            <w:rFonts w:eastAsiaTheme="minorHAnsi"/>
            <w:szCs w:val="21"/>
          </w:rPr>
          <w:t>http://business.nikkeibp.co.jp/article/manage/20141201/274526/</w:t>
        </w:r>
      </w:hyperlink>
    </w:p>
    <w:p w14:paraId="2563D020" w14:textId="77777777" w:rsidR="00726A67" w:rsidRPr="003043AD" w:rsidRDefault="00726A67" w:rsidP="00726A67">
      <w:pPr>
        <w:rPr>
          <w:rFonts w:eastAsiaTheme="minorHAnsi"/>
          <w:color w:val="000000" w:themeColor="text1"/>
          <w:szCs w:val="21"/>
        </w:rPr>
      </w:pPr>
    </w:p>
    <w:p w14:paraId="0134207D" w14:textId="77777777" w:rsidR="00726A67" w:rsidRPr="003043AD" w:rsidRDefault="00726A67" w:rsidP="00726A67">
      <w:pPr>
        <w:rPr>
          <w:rFonts w:eastAsiaTheme="minorHAnsi"/>
          <w:b/>
          <w:color w:val="000000" w:themeColor="text1"/>
          <w:szCs w:val="21"/>
        </w:rPr>
      </w:pPr>
      <w:r w:rsidRPr="003043AD">
        <w:rPr>
          <w:rFonts w:eastAsiaTheme="minorHAnsi" w:hint="eastAsia"/>
          <w:b/>
          <w:color w:val="000000" w:themeColor="text1"/>
          <w:szCs w:val="21"/>
        </w:rPr>
        <w:t>データ出典</w:t>
      </w:r>
    </w:p>
    <w:p w14:paraId="47CF0C1D" w14:textId="77777777" w:rsidR="00726A67" w:rsidRPr="003043AD" w:rsidRDefault="00726A67" w:rsidP="00726A67">
      <w:pPr>
        <w:rPr>
          <w:rFonts w:eastAsiaTheme="minorHAnsi"/>
          <w:color w:val="000000" w:themeColor="text1"/>
          <w:szCs w:val="21"/>
        </w:rPr>
      </w:pPr>
      <w:r w:rsidRPr="003043AD">
        <w:rPr>
          <w:rFonts w:eastAsiaTheme="minorHAnsi" w:hint="eastAsia"/>
          <w:color w:val="000000" w:themeColor="text1"/>
          <w:szCs w:val="21"/>
        </w:rPr>
        <w:t>経済産業省・資源エネルギー庁「エネルギー生産・需給統計年報(石油・石炭・コークス)」石油製品消費者向月別販売</w:t>
      </w:r>
    </w:p>
    <w:p w14:paraId="6D1090EC" w14:textId="77777777" w:rsidR="00726A67" w:rsidRPr="003043AD" w:rsidRDefault="00726A67" w:rsidP="00726A67">
      <w:pPr>
        <w:rPr>
          <w:rFonts w:eastAsiaTheme="minorHAnsi"/>
          <w:color w:val="000000" w:themeColor="text1"/>
          <w:szCs w:val="21"/>
        </w:rPr>
      </w:pPr>
      <w:r w:rsidRPr="003043AD">
        <w:rPr>
          <w:rFonts w:eastAsiaTheme="minorHAnsi" w:hint="eastAsia"/>
          <w:color w:val="000000" w:themeColor="text1"/>
          <w:szCs w:val="21"/>
        </w:rPr>
        <w:t>総務省統計局「小売物価統計調査（動向編）」県庁所在市及び人口15万以上の市の自動車ガソリンレギュラー価格</w:t>
      </w:r>
    </w:p>
    <w:p w14:paraId="2F94919D" w14:textId="77777777" w:rsidR="00726A67" w:rsidRPr="003043AD" w:rsidRDefault="00726A67" w:rsidP="00726A67">
      <w:pPr>
        <w:rPr>
          <w:rFonts w:eastAsiaTheme="minorHAnsi"/>
          <w:color w:val="000000" w:themeColor="text1"/>
          <w:szCs w:val="21"/>
        </w:rPr>
      </w:pPr>
      <w:r w:rsidRPr="003043AD">
        <w:rPr>
          <w:rFonts w:eastAsiaTheme="minorHAnsi" w:hint="eastAsia"/>
          <w:color w:val="000000" w:themeColor="text1"/>
          <w:szCs w:val="21"/>
        </w:rPr>
        <w:t>内閣府・経済社会総合研究所 「国民経済計算（GDP統計）」国民経済計算年次推計、平成17年基準支出系列簡易遡及</w:t>
      </w:r>
    </w:p>
    <w:p w14:paraId="71A312D1" w14:textId="77777777" w:rsidR="00726A67" w:rsidRDefault="00726A67" w:rsidP="00726A67">
      <w:pPr>
        <w:rPr>
          <w:rFonts w:eastAsia="DengXian"/>
          <w:color w:val="000000" w:themeColor="text1"/>
          <w:szCs w:val="21"/>
          <w:lang w:eastAsia="zh-CN"/>
        </w:rPr>
      </w:pPr>
      <w:r w:rsidRPr="003043AD">
        <w:rPr>
          <w:rFonts w:eastAsiaTheme="minorHAnsi" w:hint="eastAsia"/>
          <w:color w:val="000000" w:themeColor="text1"/>
          <w:szCs w:val="21"/>
          <w:lang w:eastAsia="zh-CN"/>
        </w:rPr>
        <w:t>日本銀行「企業物価指数（2010年基準）」</w:t>
      </w:r>
    </w:p>
    <w:p w14:paraId="020C224C" w14:textId="77777777" w:rsidR="00726A67" w:rsidRPr="00726A67" w:rsidRDefault="00726A67" w:rsidP="00641032">
      <w:pPr>
        <w:rPr>
          <w:rFonts w:hint="eastAsia"/>
        </w:rPr>
      </w:pPr>
    </w:p>
    <w:p w14:paraId="71C54B95" w14:textId="38F17A3B" w:rsidR="0006285C" w:rsidRDefault="0006285C" w:rsidP="00641032"/>
    <w:sectPr w:rsidR="0006285C">
      <w:footerReference w:type="defaul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651E1" w14:textId="77777777" w:rsidR="00EE6B45" w:rsidRDefault="00EE6B45" w:rsidP="007076BB">
      <w:r>
        <w:separator/>
      </w:r>
    </w:p>
  </w:endnote>
  <w:endnote w:type="continuationSeparator" w:id="0">
    <w:p w14:paraId="709D18E4" w14:textId="77777777" w:rsidR="00EE6B45" w:rsidRDefault="00EE6B45" w:rsidP="0070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 W3">
    <w:altName w:val="ＭＳ 明朝"/>
    <w:charset w:val="80"/>
    <w:family w:val="auto"/>
    <w:pitch w:val="variable"/>
    <w:sig w:usb0="00000000"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173586"/>
      <w:docPartObj>
        <w:docPartGallery w:val="Page Numbers (Bottom of Page)"/>
        <w:docPartUnique/>
      </w:docPartObj>
    </w:sdtPr>
    <w:sdtContent>
      <w:p w14:paraId="08A28896" w14:textId="2F62BAB3" w:rsidR="00726A67" w:rsidRDefault="00726A67">
        <w:pPr>
          <w:pStyle w:val="a9"/>
          <w:jc w:val="center"/>
        </w:pPr>
        <w:r>
          <w:fldChar w:fldCharType="begin"/>
        </w:r>
        <w:r>
          <w:instrText>PAGE   \* MERGEFORMAT</w:instrText>
        </w:r>
        <w:r>
          <w:fldChar w:fldCharType="separate"/>
        </w:r>
        <w:r w:rsidR="003E79D6" w:rsidRPr="003E79D6">
          <w:rPr>
            <w:noProof/>
            <w:lang w:val="ja-JP"/>
          </w:rPr>
          <w:t>23</w:t>
        </w:r>
        <w:r>
          <w:fldChar w:fldCharType="end"/>
        </w:r>
      </w:p>
    </w:sdtContent>
  </w:sdt>
  <w:p w14:paraId="0E44C727" w14:textId="77777777" w:rsidR="00726A67" w:rsidRDefault="00726A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30C96" w14:textId="77777777" w:rsidR="00EE6B45" w:rsidRDefault="00EE6B45" w:rsidP="007076BB">
      <w:r>
        <w:separator/>
      </w:r>
    </w:p>
  </w:footnote>
  <w:footnote w:type="continuationSeparator" w:id="0">
    <w:p w14:paraId="346C49DD" w14:textId="77777777" w:rsidR="00EE6B45" w:rsidRDefault="00EE6B45" w:rsidP="007076BB">
      <w:r>
        <w:continuationSeparator/>
      </w:r>
    </w:p>
  </w:footnote>
  <w:footnote w:id="1">
    <w:p w14:paraId="1D778399" w14:textId="667044DA" w:rsidR="00726A67" w:rsidRDefault="00726A67">
      <w:pPr>
        <w:pStyle w:val="a3"/>
      </w:pPr>
      <w:r>
        <w:rPr>
          <w:rStyle w:val="a5"/>
        </w:rPr>
        <w:footnoteRef/>
      </w:r>
      <w:r>
        <w:t xml:space="preserve"> </w:t>
      </w:r>
      <w:r>
        <w:rPr>
          <w:rFonts w:hint="eastAsia"/>
        </w:rPr>
        <w:t>一般社団法人　次世代自動車振興センター</w:t>
      </w:r>
    </w:p>
    <w:p w14:paraId="7C0E5042" w14:textId="05EC6307" w:rsidR="00726A67" w:rsidRDefault="00726A67">
      <w:pPr>
        <w:pStyle w:val="a3"/>
      </w:pPr>
      <w:hyperlink r:id="rId1" w:history="1">
        <w:r w:rsidRPr="00B9713B">
          <w:rPr>
            <w:rStyle w:val="af2"/>
          </w:rPr>
          <w:t>http://www.cev-pc.or.jp/kiso/s.html#355</w:t>
        </w:r>
      </w:hyperlink>
    </w:p>
    <w:p w14:paraId="1574AC97" w14:textId="77777777" w:rsidR="00726A67" w:rsidRDefault="00726A67">
      <w:pPr>
        <w:pStyle w:val="a3"/>
        <w:rPr>
          <w:rFonts w:hint="eastAsia"/>
        </w:rPr>
      </w:pPr>
    </w:p>
  </w:footnote>
  <w:footnote w:id="2">
    <w:p w14:paraId="21F684E9" w14:textId="77777777" w:rsidR="00726A67" w:rsidRPr="003C67BE" w:rsidRDefault="00726A67" w:rsidP="00063C1D">
      <w:pPr>
        <w:pStyle w:val="a3"/>
        <w:rPr>
          <w:color w:val="FF0000"/>
        </w:rPr>
      </w:pPr>
      <w:r>
        <w:rPr>
          <w:rStyle w:val="a5"/>
        </w:rPr>
        <w:footnoteRef/>
      </w:r>
      <w:r>
        <w:t xml:space="preserve"> </w:t>
      </w:r>
      <w:r w:rsidRPr="003C67BE">
        <w:rPr>
          <w:bCs/>
        </w:rPr>
        <w:t>IEA</w:t>
      </w:r>
      <w:r>
        <w:t xml:space="preserve">(2016) </w:t>
      </w:r>
      <w:r>
        <w:rPr>
          <w:bCs/>
          <w:i/>
        </w:rPr>
        <w:t>World Energy Outlook.</w:t>
      </w:r>
    </w:p>
  </w:footnote>
  <w:footnote w:id="3">
    <w:p w14:paraId="09559559" w14:textId="77777777" w:rsidR="00726A67" w:rsidRDefault="00726A67" w:rsidP="00063C1D">
      <w:pPr>
        <w:pStyle w:val="a3"/>
      </w:pPr>
      <w:r>
        <w:rPr>
          <w:rStyle w:val="a5"/>
        </w:rPr>
        <w:footnoteRef/>
      </w:r>
      <w:r>
        <w:t xml:space="preserve"> IEEJ(2017)</w:t>
      </w:r>
      <w:r>
        <w:rPr>
          <w:rFonts w:hint="eastAsia"/>
        </w:rPr>
        <w:t>『2017年内外エネルギー情勢の展望』。</w:t>
      </w:r>
    </w:p>
  </w:footnote>
  <w:footnote w:id="4">
    <w:p w14:paraId="334F1B60" w14:textId="77777777" w:rsidR="00726A67" w:rsidRPr="00526577" w:rsidRDefault="00726A67" w:rsidP="00063C1D">
      <w:pPr>
        <w:pStyle w:val="a3"/>
      </w:pPr>
      <w:r>
        <w:rPr>
          <w:rStyle w:val="a5"/>
        </w:rPr>
        <w:footnoteRef/>
      </w:r>
      <w:r>
        <w:t xml:space="preserve"> </w:t>
      </w:r>
      <w:r>
        <w:rPr>
          <w:rFonts w:hint="eastAsia"/>
        </w:rPr>
        <w:t>スマートジャパン『</w:t>
      </w:r>
      <w:r w:rsidRPr="00C33072">
        <w:rPr>
          <w:rFonts w:hint="eastAsia"/>
        </w:rPr>
        <w:t>HV</w:t>
      </w:r>
      <w:r w:rsidRPr="00C33072">
        <w:rPr>
          <w:rFonts w:hint="eastAsia"/>
        </w:rPr>
        <w:t>が主流のエコカー市場、EV・PHVがシェアを追い抜くのはいつか</w:t>
      </w:r>
      <w:r>
        <w:rPr>
          <w:rFonts w:hint="eastAsia"/>
        </w:rPr>
        <w:t>』(</w:t>
      </w:r>
      <w:r>
        <w:t>2017-6-27</w:t>
      </w:r>
      <w:r>
        <w:rPr>
          <w:rFonts w:hint="eastAsia"/>
        </w:rPr>
        <w:t>参照)。</w:t>
      </w:r>
      <w:hyperlink r:id="rId2" w:history="1">
        <w:r w:rsidRPr="00CF4822">
          <w:rPr>
            <w:rStyle w:val="af2"/>
          </w:rPr>
          <w:t>http://www.itmedia.co.jp/smartjapan/articles/1706/27/news021.html</w:t>
        </w:r>
      </w:hyperlink>
    </w:p>
  </w:footnote>
  <w:footnote w:id="5">
    <w:p w14:paraId="7CD9F382" w14:textId="77777777" w:rsidR="00726A67" w:rsidRPr="00D833F1" w:rsidRDefault="00726A67" w:rsidP="00063C1D">
      <w:pPr>
        <w:pStyle w:val="a3"/>
      </w:pPr>
      <w:r>
        <w:rPr>
          <w:rStyle w:val="a5"/>
        </w:rPr>
        <w:footnoteRef/>
      </w:r>
      <w:r>
        <w:t xml:space="preserve"> </w:t>
      </w:r>
      <w:r>
        <w:rPr>
          <w:rFonts w:hint="eastAsia"/>
        </w:rPr>
        <w:t>経済産業省製造産業局自動車課(</w:t>
      </w:r>
      <w:r>
        <w:t>2013</w:t>
      </w:r>
      <w:r>
        <w:rPr>
          <w:rFonts w:hint="eastAsia"/>
        </w:rPr>
        <w:t>)『次世代自動車普及に向けた国の取組について』(</w:t>
      </w:r>
      <w:r>
        <w:t>2017-8-4</w:t>
      </w:r>
      <w:r>
        <w:rPr>
          <w:rFonts w:hint="eastAsia"/>
        </w:rPr>
        <w:t>参照)。</w:t>
      </w:r>
      <w:hyperlink r:id="rId3" w:history="1">
        <w:r w:rsidRPr="00853ED8">
          <w:rPr>
            <w:rStyle w:val="af2"/>
          </w:rPr>
          <w:t>http://www.cev-pc.or.jp/event/pdf_tokyo/tokyo01.pdf</w:t>
        </w:r>
      </w:hyperlink>
    </w:p>
  </w:footnote>
  <w:footnote w:id="6">
    <w:p w14:paraId="505FC6ED" w14:textId="77777777" w:rsidR="00726A67" w:rsidRDefault="00726A67" w:rsidP="00063C1D">
      <w:pPr>
        <w:pStyle w:val="a3"/>
      </w:pPr>
      <w:r>
        <w:rPr>
          <w:rStyle w:val="a5"/>
        </w:rPr>
        <w:footnoteRef/>
      </w:r>
      <w:r>
        <w:t xml:space="preserve"> </w:t>
      </w:r>
      <w:r>
        <w:rPr>
          <w:rFonts w:hint="eastAsia"/>
        </w:rPr>
        <w:t>環境省(</w:t>
      </w:r>
      <w:r>
        <w:t>2010</w:t>
      </w:r>
      <w:r>
        <w:rPr>
          <w:rFonts w:hint="eastAsia"/>
        </w:rPr>
        <w:t>)『主要国のエコカー戦略』(</w:t>
      </w:r>
      <w:r>
        <w:t>2017-8-3</w:t>
      </w:r>
      <w:r>
        <w:rPr>
          <w:rFonts w:hint="eastAsia"/>
        </w:rPr>
        <w:t>参照)</w:t>
      </w:r>
    </w:p>
    <w:p w14:paraId="055F3FF4" w14:textId="77777777" w:rsidR="00726A67" w:rsidRPr="00D833F1" w:rsidRDefault="00726A67" w:rsidP="00063C1D">
      <w:pPr>
        <w:pStyle w:val="a3"/>
      </w:pPr>
      <w:hyperlink r:id="rId4" w:history="1">
        <w:r w:rsidRPr="00853ED8">
          <w:rPr>
            <w:rStyle w:val="af2"/>
          </w:rPr>
          <w:t>http://www.env.go.jp/earth/ondanka/mlt_roadmap/comm/com02-02/mat05.pdf</w:t>
        </w:r>
      </w:hyperlink>
    </w:p>
  </w:footnote>
  <w:footnote w:id="7">
    <w:p w14:paraId="32251C8D" w14:textId="77777777" w:rsidR="00726A67" w:rsidRPr="00526577" w:rsidRDefault="00726A67" w:rsidP="00063C1D">
      <w:pPr>
        <w:pStyle w:val="a3"/>
      </w:pPr>
      <w:r>
        <w:rPr>
          <w:rStyle w:val="a5"/>
        </w:rPr>
        <w:footnoteRef/>
      </w:r>
      <w:r>
        <w:t xml:space="preserve"> </w:t>
      </w:r>
      <w:r>
        <w:rPr>
          <w:rFonts w:hint="eastAsia"/>
        </w:rPr>
        <w:t>『日本経済新聞』2017年7月28日朝刊「ガソリン需要鈍化懸念、原油相場上昇の重荷」</w:t>
      </w:r>
    </w:p>
  </w:footnote>
  <w:footnote w:id="8">
    <w:p w14:paraId="54C52DCE" w14:textId="77777777" w:rsidR="00726A67" w:rsidRPr="0008799B" w:rsidRDefault="00726A67" w:rsidP="00063C1D">
      <w:pPr>
        <w:pStyle w:val="a3"/>
      </w:pPr>
      <w:r>
        <w:rPr>
          <w:rStyle w:val="a5"/>
        </w:rPr>
        <w:footnoteRef/>
      </w:r>
      <w:r>
        <w:t xml:space="preserve"> </w:t>
      </w:r>
      <w:r>
        <w:rPr>
          <w:rFonts w:hint="eastAsia"/>
        </w:rPr>
        <w:t>経済産業省製造産業局自動車課(</w:t>
      </w:r>
      <w:r>
        <w:t>2013</w:t>
      </w:r>
      <w:r>
        <w:rPr>
          <w:rFonts w:hint="eastAsia"/>
        </w:rPr>
        <w:t>)</w:t>
      </w:r>
      <w:r>
        <w:rPr>
          <w:rFonts w:hint="eastAsia"/>
        </w:rPr>
        <w:t>『次世代自動車普及に向けた国の取組について』(</w:t>
      </w:r>
      <w:r>
        <w:t>2017-8-3</w:t>
      </w:r>
      <w:r>
        <w:rPr>
          <w:rFonts w:hint="eastAsia"/>
        </w:rPr>
        <w:t>参照)</w:t>
      </w:r>
      <w:hyperlink r:id="rId5" w:history="1">
        <w:r w:rsidRPr="00853ED8">
          <w:rPr>
            <w:rStyle w:val="af2"/>
          </w:rPr>
          <w:t>http://www.cev-pc.or.jp/event/pdf_tokyo/tokyo01.pdf</w:t>
        </w:r>
      </w:hyperlink>
    </w:p>
  </w:footnote>
  <w:footnote w:id="9">
    <w:p w14:paraId="4BE8F725" w14:textId="31F8B8E2" w:rsidR="00726A67" w:rsidRPr="0008799B" w:rsidRDefault="00726A67" w:rsidP="0008799B">
      <w:pPr>
        <w:rPr>
          <w:rFonts w:eastAsiaTheme="minorHAnsi"/>
          <w:color w:val="000000" w:themeColor="text1"/>
          <w:szCs w:val="21"/>
        </w:rPr>
      </w:pPr>
      <w:r>
        <w:rPr>
          <w:rStyle w:val="a5"/>
        </w:rPr>
        <w:footnoteRef/>
      </w:r>
      <w:r>
        <w:t xml:space="preserve"> </w:t>
      </w:r>
      <w:r w:rsidRPr="003043AD">
        <w:rPr>
          <w:rFonts w:eastAsiaTheme="minorHAnsi" w:hint="eastAsia"/>
          <w:color w:val="000000" w:themeColor="text1"/>
          <w:szCs w:val="21"/>
        </w:rPr>
        <w:t>金本良嗣ほか(2006)『政策評価ミクロモデル』東洋経済新報社</w:t>
      </w:r>
      <w:r>
        <w:rPr>
          <w:rFonts w:eastAsiaTheme="minorHAnsi" w:hint="eastAsia"/>
          <w:color w:val="000000" w:themeColor="text1"/>
          <w:szCs w:val="21"/>
        </w:rPr>
        <w:t>。</w:t>
      </w:r>
    </w:p>
  </w:footnote>
  <w:footnote w:id="10">
    <w:p w14:paraId="041BFCCD" w14:textId="51E9A1F1" w:rsidR="00726A67" w:rsidRPr="0008799B" w:rsidRDefault="00726A67" w:rsidP="0008799B">
      <w:pPr>
        <w:rPr>
          <w:rFonts w:eastAsiaTheme="minorHAnsi"/>
          <w:color w:val="000000" w:themeColor="text1"/>
          <w:szCs w:val="21"/>
        </w:rPr>
      </w:pPr>
      <w:r>
        <w:rPr>
          <w:rStyle w:val="a5"/>
        </w:rPr>
        <w:footnoteRef/>
      </w:r>
      <w:r>
        <w:t xml:space="preserve"> </w:t>
      </w:r>
      <w:r w:rsidRPr="003043AD">
        <w:rPr>
          <w:rFonts w:eastAsiaTheme="minorHAnsi" w:hint="eastAsia"/>
          <w:color w:val="000000" w:themeColor="text1"/>
          <w:szCs w:val="21"/>
        </w:rPr>
        <w:t>二村真理子(1999)「地球温暖化問題と自動車交通ー税制のグリーン化と二酸化炭素排出削減ー」日本交通学会1999年研究年報</w:t>
      </w:r>
      <w:r>
        <w:rPr>
          <w:rFonts w:eastAsiaTheme="minorHAnsi" w:hint="eastAsia"/>
          <w:color w:val="000000" w:themeColor="text1"/>
          <w:szCs w:val="21"/>
        </w:rPr>
        <w:t>。</w:t>
      </w:r>
    </w:p>
  </w:footnote>
  <w:footnote w:id="11">
    <w:p w14:paraId="5D28F8F0" w14:textId="362D8EB8" w:rsidR="00726A67" w:rsidRPr="00EE13D4" w:rsidRDefault="00726A67">
      <w:pPr>
        <w:pStyle w:val="a3"/>
      </w:pPr>
      <w:r>
        <w:rPr>
          <w:rStyle w:val="a5"/>
        </w:rPr>
        <w:footnoteRef/>
      </w:r>
      <w:r>
        <w:t xml:space="preserve"> </w:t>
      </w:r>
      <w:r>
        <w:rPr>
          <w:rFonts w:hint="eastAsia"/>
        </w:rPr>
        <w:t>川瀬晃弘(</w:t>
      </w:r>
      <w:r>
        <w:t>2008</w:t>
      </w:r>
      <w:r>
        <w:rPr>
          <w:rFonts w:hint="eastAsia"/>
        </w:rPr>
        <w:t>)『最適課税論からみたガソリン税率：日米英比較』東洋大学。</w:t>
      </w:r>
    </w:p>
  </w:footnote>
  <w:footnote w:id="12">
    <w:p w14:paraId="771E1EBA" w14:textId="63D9D5EA" w:rsidR="00726A67" w:rsidRDefault="00726A67">
      <w:pPr>
        <w:pStyle w:val="a3"/>
      </w:pPr>
      <w:r>
        <w:rPr>
          <w:rStyle w:val="a5"/>
        </w:rPr>
        <w:footnoteRef/>
      </w:r>
      <w:r>
        <w:t xml:space="preserve"> </w:t>
      </w:r>
      <w:r>
        <w:rPr>
          <w:rFonts w:hint="eastAsia"/>
        </w:rPr>
        <w:t>柳澤明(</w:t>
      </w:r>
      <w:r>
        <w:t>2007</w:t>
      </w:r>
      <w:r>
        <w:rPr>
          <w:rFonts w:hint="eastAsia"/>
        </w:rPr>
        <w:t>)『ガソリン価格の高騰は消費様式を変化させたか』IEEJ。</w:t>
      </w:r>
    </w:p>
  </w:footnote>
  <w:footnote w:id="13">
    <w:p w14:paraId="0020A9E7" w14:textId="32CCF2F8" w:rsidR="00726A67" w:rsidRPr="00EE13D4" w:rsidRDefault="00726A67">
      <w:pPr>
        <w:pStyle w:val="a3"/>
      </w:pPr>
      <w:r>
        <w:rPr>
          <w:rStyle w:val="a5"/>
        </w:rPr>
        <w:footnoteRef/>
      </w:r>
      <w:r>
        <w:t xml:space="preserve"> </w:t>
      </w:r>
      <w:r>
        <w:rPr>
          <w:rFonts w:hint="eastAsia"/>
        </w:rPr>
        <w:t>財務省「揮発油税等の概要」(</w:t>
      </w:r>
      <w:r>
        <w:t>2017-8-5</w:t>
      </w:r>
      <w:r>
        <w:rPr>
          <w:rFonts w:hint="eastAsia"/>
        </w:rPr>
        <w:t>参照)</w:t>
      </w:r>
      <w:hyperlink r:id="rId6" w:history="1">
        <w:r w:rsidRPr="00287A64">
          <w:rPr>
            <w:rStyle w:val="af2"/>
          </w:rPr>
          <w:t>http://www.mof.go.jp/tax_policy/summary/consumption/132.htm</w:t>
        </w:r>
      </w:hyperlink>
    </w:p>
  </w:footnote>
  <w:footnote w:id="14">
    <w:p w14:paraId="1B745157" w14:textId="0A1F1135" w:rsidR="00726A67" w:rsidRDefault="00726A67">
      <w:pPr>
        <w:pStyle w:val="a3"/>
      </w:pPr>
      <w:r>
        <w:rPr>
          <w:rStyle w:val="a5"/>
        </w:rPr>
        <w:footnoteRef/>
      </w:r>
      <w:r>
        <w:t xml:space="preserve"> </w:t>
      </w:r>
      <w:r>
        <w:rPr>
          <w:rFonts w:hint="eastAsia"/>
        </w:rPr>
        <w:t>環境省(</w:t>
      </w:r>
      <w:r>
        <w:t>2012</w:t>
      </w:r>
      <w:r>
        <w:rPr>
          <w:rFonts w:hint="eastAsia"/>
        </w:rPr>
        <w:t>)「地球温暖化対策のための税の導入」(</w:t>
      </w:r>
      <w:r>
        <w:t>2017-8-5</w:t>
      </w:r>
      <w:r>
        <w:rPr>
          <w:rFonts w:hint="eastAsia"/>
        </w:rPr>
        <w:t>参照)</w:t>
      </w:r>
    </w:p>
    <w:p w14:paraId="7C64CD58" w14:textId="614B2917" w:rsidR="00726A67" w:rsidRDefault="00726A67">
      <w:pPr>
        <w:pStyle w:val="a3"/>
      </w:pPr>
      <w:hyperlink r:id="rId7" w:history="1">
        <w:r w:rsidRPr="00853ED8">
          <w:rPr>
            <w:rStyle w:val="af2"/>
          </w:rPr>
          <w:t>http://www.env.go.jp/policy/tax/about.html</w:t>
        </w:r>
      </w:hyperlink>
    </w:p>
    <w:p w14:paraId="78CEE5B9" w14:textId="77777777" w:rsidR="00726A67" w:rsidRPr="00EE13D4" w:rsidRDefault="00726A67">
      <w:pPr>
        <w:pStyle w:val="a3"/>
      </w:pPr>
    </w:p>
  </w:footnote>
  <w:footnote w:id="15">
    <w:p w14:paraId="0D4192C1" w14:textId="77777777" w:rsidR="00726A67" w:rsidRDefault="00726A67" w:rsidP="00726A67">
      <w:pPr>
        <w:pStyle w:val="a3"/>
      </w:pPr>
      <w:r>
        <w:rPr>
          <w:rStyle w:val="a5"/>
        </w:rPr>
        <w:footnoteRef/>
      </w:r>
      <w:r>
        <w:t xml:space="preserve"> </w:t>
      </w:r>
      <w:r w:rsidRPr="008973FB">
        <w:rPr>
          <w:rFonts w:hint="eastAsia"/>
          <w:sz w:val="18"/>
          <w:szCs w:val="18"/>
        </w:rPr>
        <w:t>ボックス・ジェンキンス法（</w:t>
      </w:r>
      <w:r w:rsidRPr="008973FB">
        <w:rPr>
          <w:sz w:val="18"/>
          <w:szCs w:val="18"/>
        </w:rPr>
        <w:t>Box-Jenkins Method</w:t>
      </w:r>
      <w:r>
        <w:rPr>
          <w:sz w:val="18"/>
          <w:szCs w:val="18"/>
        </w:rPr>
        <w:t>）は、モデル作成</w:t>
      </w:r>
      <w:r w:rsidRPr="008973FB">
        <w:rPr>
          <w:sz w:val="18"/>
          <w:szCs w:val="18"/>
        </w:rPr>
        <w:t>を</w:t>
      </w:r>
      <w:r>
        <w:rPr>
          <w:rFonts w:hint="eastAsia"/>
          <w:sz w:val="18"/>
          <w:szCs w:val="18"/>
        </w:rPr>
        <w:t>、因果性判定、定常化処理、モデルの推計、系列相関消滅の確認という手順</w:t>
      </w:r>
      <w:r>
        <w:rPr>
          <w:sz w:val="18"/>
          <w:szCs w:val="18"/>
        </w:rPr>
        <w:t>で</w:t>
      </w:r>
      <w:r w:rsidRPr="008973FB">
        <w:rPr>
          <w:sz w:val="18"/>
          <w:szCs w:val="18"/>
        </w:rPr>
        <w:t>行う方法である</w:t>
      </w:r>
      <w:r>
        <w:rPr>
          <w:sz w:val="18"/>
          <w:szCs w:val="18"/>
        </w:rPr>
        <w:t>。</w:t>
      </w:r>
    </w:p>
  </w:footnote>
  <w:footnote w:id="16">
    <w:p w14:paraId="27A7B4FB" w14:textId="77777777" w:rsidR="00726A67" w:rsidRDefault="00726A67" w:rsidP="00726A67">
      <w:pPr>
        <w:pStyle w:val="a3"/>
      </w:pPr>
      <w:r>
        <w:rPr>
          <w:rStyle w:val="a5"/>
        </w:rPr>
        <w:footnoteRef/>
      </w:r>
      <w:r>
        <w:t xml:space="preserve"> </w:t>
      </w:r>
      <w:r>
        <w:rPr>
          <w:rFonts w:hint="eastAsia"/>
        </w:rPr>
        <w:t>『日経ビジネス』2014「環境規制の抜け道が、日本のクルマを重くした」</w:t>
      </w:r>
    </w:p>
    <w:p w14:paraId="67D6C3DE" w14:textId="77777777" w:rsidR="00726A67" w:rsidRDefault="00726A67" w:rsidP="00726A67">
      <w:pPr>
        <w:pStyle w:val="a3"/>
      </w:pPr>
      <w:hyperlink r:id="rId8" w:history="1">
        <w:r w:rsidRPr="00B71679">
          <w:rPr>
            <w:rStyle w:val="af2"/>
          </w:rPr>
          <w:t>http://business.nikkeibp.co.jp/article/manage/20141201/274526/</w:t>
        </w:r>
      </w:hyperlink>
    </w:p>
    <w:p w14:paraId="35250ED0" w14:textId="77777777" w:rsidR="00726A67" w:rsidRPr="00E826DF" w:rsidRDefault="00726A67" w:rsidP="00726A67">
      <w:pPr>
        <w:pStyle w:val="a3"/>
      </w:pPr>
    </w:p>
  </w:footnote>
  <w:footnote w:id="17">
    <w:p w14:paraId="69B6225E" w14:textId="77777777" w:rsidR="00726A67" w:rsidRDefault="00726A67" w:rsidP="00726A67">
      <w:pPr>
        <w:pStyle w:val="a3"/>
        <w:rPr>
          <w:lang w:eastAsia="zh-CN"/>
        </w:rPr>
      </w:pPr>
      <w:r>
        <w:rPr>
          <w:rStyle w:val="a5"/>
        </w:rPr>
        <w:footnoteRef/>
      </w:r>
      <w:r>
        <w:rPr>
          <w:lang w:eastAsia="zh-CN"/>
        </w:rPr>
        <w:t xml:space="preserve"> </w:t>
      </w:r>
      <w:r>
        <w:rPr>
          <w:rFonts w:hint="eastAsia"/>
          <w:lang w:eastAsia="zh-CN"/>
        </w:rPr>
        <w:t>国土交通省(2013</w:t>
      </w:r>
      <w:r>
        <w:rPr>
          <w:lang w:eastAsia="zh-CN"/>
        </w:rPr>
        <w:t>)</w:t>
      </w:r>
      <w:r>
        <w:rPr>
          <w:rFonts w:hint="eastAsia"/>
          <w:lang w:eastAsia="zh-CN"/>
        </w:rPr>
        <w:t>『平成25年3月末現在低公害車普及状況』</w:t>
      </w:r>
    </w:p>
    <w:p w14:paraId="0B516411" w14:textId="77777777" w:rsidR="00726A67" w:rsidRDefault="00726A67" w:rsidP="00726A67">
      <w:pPr>
        <w:pStyle w:val="a3"/>
      </w:pPr>
      <w:hyperlink r:id="rId9" w:history="1">
        <w:r w:rsidRPr="00B71679">
          <w:rPr>
            <w:rStyle w:val="af2"/>
          </w:rPr>
          <w:t>http://wwwtb.mlit.go.jp/tohoku/kk/ecocar130331.pdf</w:t>
        </w:r>
      </w:hyperlink>
    </w:p>
    <w:p w14:paraId="4C789393" w14:textId="77777777" w:rsidR="00726A67" w:rsidRPr="009D211E" w:rsidRDefault="00726A67" w:rsidP="00726A67">
      <w:pPr>
        <w:pStyle w:val="a3"/>
      </w:pPr>
    </w:p>
  </w:footnote>
  <w:footnote w:id="18">
    <w:p w14:paraId="48C25F78" w14:textId="77777777" w:rsidR="00726A67" w:rsidRDefault="00726A67" w:rsidP="00726A67">
      <w:pPr>
        <w:pStyle w:val="a3"/>
      </w:pPr>
      <w:r>
        <w:rPr>
          <w:rStyle w:val="a5"/>
        </w:rPr>
        <w:footnoteRef/>
      </w:r>
      <w:r>
        <w:t xml:space="preserve"> </w:t>
      </w:r>
      <w:r>
        <w:rPr>
          <w:rFonts w:hint="eastAsia"/>
        </w:rPr>
        <w:t>Ibid.</w:t>
      </w:r>
    </w:p>
  </w:footnote>
  <w:footnote w:id="19">
    <w:p w14:paraId="63D55C1A" w14:textId="77777777" w:rsidR="00726A67" w:rsidRDefault="00726A67" w:rsidP="00726A67">
      <w:pPr>
        <w:pStyle w:val="a3"/>
      </w:pPr>
      <w:r>
        <w:rPr>
          <w:rStyle w:val="a5"/>
        </w:rPr>
        <w:footnoteRef/>
      </w:r>
      <w:r>
        <w:t xml:space="preserve"> </w:t>
      </w:r>
      <w:r>
        <w:rPr>
          <w:rFonts w:hint="eastAsia"/>
        </w:rPr>
        <w:t>サンプル数の観点から、</w:t>
      </w:r>
      <w:r>
        <w:rPr>
          <w:rFonts w:cs="Times New Roman" w:hint="eastAsia"/>
        </w:rPr>
        <w:t>例えば１０年１２０ヶ月という短期的な時系列データを用いて分析するのが適当ではないかと推察する。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A42E8"/>
    <w:multiLevelType w:val="hybridMultilevel"/>
    <w:tmpl w:val="7842055E"/>
    <w:lvl w:ilvl="0" w:tplc="E954FC02">
      <w:start w:val="1"/>
      <w:numFmt w:val="decimalFullWidth"/>
      <w:lvlText w:val="第%1章"/>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BF3"/>
    <w:rsid w:val="00054BFA"/>
    <w:rsid w:val="0006285C"/>
    <w:rsid w:val="00063C1D"/>
    <w:rsid w:val="000811FB"/>
    <w:rsid w:val="0008799B"/>
    <w:rsid w:val="00090FE7"/>
    <w:rsid w:val="000B50E6"/>
    <w:rsid w:val="000E1656"/>
    <w:rsid w:val="00110D52"/>
    <w:rsid w:val="00116F30"/>
    <w:rsid w:val="00123403"/>
    <w:rsid w:val="001250BB"/>
    <w:rsid w:val="00127DD1"/>
    <w:rsid w:val="001353A4"/>
    <w:rsid w:val="00146DB2"/>
    <w:rsid w:val="00184D80"/>
    <w:rsid w:val="001A2E8A"/>
    <w:rsid w:val="001F2BDE"/>
    <w:rsid w:val="00200783"/>
    <w:rsid w:val="00203D5C"/>
    <w:rsid w:val="00220DB7"/>
    <w:rsid w:val="00235BCA"/>
    <w:rsid w:val="002566EB"/>
    <w:rsid w:val="00265EC9"/>
    <w:rsid w:val="002736D2"/>
    <w:rsid w:val="00276103"/>
    <w:rsid w:val="0027734B"/>
    <w:rsid w:val="00295CD1"/>
    <w:rsid w:val="00297246"/>
    <w:rsid w:val="002A630B"/>
    <w:rsid w:val="002C0067"/>
    <w:rsid w:val="002C70BB"/>
    <w:rsid w:val="002D7E07"/>
    <w:rsid w:val="002E39EC"/>
    <w:rsid w:val="002F028E"/>
    <w:rsid w:val="002F2E89"/>
    <w:rsid w:val="002F49B2"/>
    <w:rsid w:val="003043AD"/>
    <w:rsid w:val="003115A1"/>
    <w:rsid w:val="003257BC"/>
    <w:rsid w:val="00326BAA"/>
    <w:rsid w:val="00327B0A"/>
    <w:rsid w:val="003325D6"/>
    <w:rsid w:val="00333458"/>
    <w:rsid w:val="00335723"/>
    <w:rsid w:val="00343883"/>
    <w:rsid w:val="003702A1"/>
    <w:rsid w:val="003731DC"/>
    <w:rsid w:val="003805FB"/>
    <w:rsid w:val="00385A90"/>
    <w:rsid w:val="003A352F"/>
    <w:rsid w:val="003A4490"/>
    <w:rsid w:val="003B24DC"/>
    <w:rsid w:val="003B6D85"/>
    <w:rsid w:val="003C67BE"/>
    <w:rsid w:val="003D3C50"/>
    <w:rsid w:val="003E3B19"/>
    <w:rsid w:val="003E3B5C"/>
    <w:rsid w:val="003E61BE"/>
    <w:rsid w:val="003E7674"/>
    <w:rsid w:val="003E79D6"/>
    <w:rsid w:val="003F6F4E"/>
    <w:rsid w:val="00404DCC"/>
    <w:rsid w:val="00421D83"/>
    <w:rsid w:val="00432944"/>
    <w:rsid w:val="00435760"/>
    <w:rsid w:val="00436137"/>
    <w:rsid w:val="00461B87"/>
    <w:rsid w:val="00496909"/>
    <w:rsid w:val="004C24FC"/>
    <w:rsid w:val="004D1295"/>
    <w:rsid w:val="004D1379"/>
    <w:rsid w:val="00505374"/>
    <w:rsid w:val="00515092"/>
    <w:rsid w:val="00516AC0"/>
    <w:rsid w:val="00526577"/>
    <w:rsid w:val="00536E0F"/>
    <w:rsid w:val="00542ADC"/>
    <w:rsid w:val="00561655"/>
    <w:rsid w:val="005648B1"/>
    <w:rsid w:val="005932C9"/>
    <w:rsid w:val="00594213"/>
    <w:rsid w:val="005A49F5"/>
    <w:rsid w:val="005A5CD5"/>
    <w:rsid w:val="005B2431"/>
    <w:rsid w:val="005B476F"/>
    <w:rsid w:val="005C5CEC"/>
    <w:rsid w:val="005D6400"/>
    <w:rsid w:val="005F5476"/>
    <w:rsid w:val="00605A93"/>
    <w:rsid w:val="00641032"/>
    <w:rsid w:val="00653D38"/>
    <w:rsid w:val="00673D2A"/>
    <w:rsid w:val="00686012"/>
    <w:rsid w:val="0069395D"/>
    <w:rsid w:val="006A0AAC"/>
    <w:rsid w:val="006A5AF0"/>
    <w:rsid w:val="006B7C14"/>
    <w:rsid w:val="006D454B"/>
    <w:rsid w:val="006E38FA"/>
    <w:rsid w:val="006E3D11"/>
    <w:rsid w:val="006E68E3"/>
    <w:rsid w:val="006E6FE1"/>
    <w:rsid w:val="007076BB"/>
    <w:rsid w:val="007114E4"/>
    <w:rsid w:val="00712794"/>
    <w:rsid w:val="007204AB"/>
    <w:rsid w:val="00724E14"/>
    <w:rsid w:val="00726A67"/>
    <w:rsid w:val="00730662"/>
    <w:rsid w:val="00734B3D"/>
    <w:rsid w:val="00757D34"/>
    <w:rsid w:val="00780E40"/>
    <w:rsid w:val="00792DDE"/>
    <w:rsid w:val="007A172C"/>
    <w:rsid w:val="007B169F"/>
    <w:rsid w:val="007D0CA3"/>
    <w:rsid w:val="007D1A57"/>
    <w:rsid w:val="007E78A0"/>
    <w:rsid w:val="00802EA0"/>
    <w:rsid w:val="008121C8"/>
    <w:rsid w:val="00844D4A"/>
    <w:rsid w:val="008A220A"/>
    <w:rsid w:val="008B0492"/>
    <w:rsid w:val="008B6067"/>
    <w:rsid w:val="008E1C23"/>
    <w:rsid w:val="00914056"/>
    <w:rsid w:val="00921521"/>
    <w:rsid w:val="0093495A"/>
    <w:rsid w:val="00936AB3"/>
    <w:rsid w:val="00954229"/>
    <w:rsid w:val="009736DC"/>
    <w:rsid w:val="009A1706"/>
    <w:rsid w:val="009A39A1"/>
    <w:rsid w:val="009A54F1"/>
    <w:rsid w:val="009A7DA6"/>
    <w:rsid w:val="009B38EE"/>
    <w:rsid w:val="009D211E"/>
    <w:rsid w:val="009E4314"/>
    <w:rsid w:val="009E4876"/>
    <w:rsid w:val="009F324A"/>
    <w:rsid w:val="009F698B"/>
    <w:rsid w:val="00A110CC"/>
    <w:rsid w:val="00A209A4"/>
    <w:rsid w:val="00A322BB"/>
    <w:rsid w:val="00A34051"/>
    <w:rsid w:val="00A34BEA"/>
    <w:rsid w:val="00A51A8A"/>
    <w:rsid w:val="00A80F36"/>
    <w:rsid w:val="00A83CD8"/>
    <w:rsid w:val="00A93327"/>
    <w:rsid w:val="00AA378E"/>
    <w:rsid w:val="00AA41EC"/>
    <w:rsid w:val="00AA7F91"/>
    <w:rsid w:val="00AB465A"/>
    <w:rsid w:val="00AC2B3E"/>
    <w:rsid w:val="00AC4412"/>
    <w:rsid w:val="00AE0EEE"/>
    <w:rsid w:val="00AE437A"/>
    <w:rsid w:val="00AF3A2C"/>
    <w:rsid w:val="00B17E05"/>
    <w:rsid w:val="00B2461B"/>
    <w:rsid w:val="00B27545"/>
    <w:rsid w:val="00B36E87"/>
    <w:rsid w:val="00B503FC"/>
    <w:rsid w:val="00B75280"/>
    <w:rsid w:val="00B83211"/>
    <w:rsid w:val="00B8360E"/>
    <w:rsid w:val="00B855DB"/>
    <w:rsid w:val="00BA0EAA"/>
    <w:rsid w:val="00BC3DD0"/>
    <w:rsid w:val="00BD1BF3"/>
    <w:rsid w:val="00BD2690"/>
    <w:rsid w:val="00BE7856"/>
    <w:rsid w:val="00C00BFD"/>
    <w:rsid w:val="00C04117"/>
    <w:rsid w:val="00C114D4"/>
    <w:rsid w:val="00C34BCE"/>
    <w:rsid w:val="00C63AB6"/>
    <w:rsid w:val="00C90C45"/>
    <w:rsid w:val="00C96386"/>
    <w:rsid w:val="00C97D18"/>
    <w:rsid w:val="00CA6527"/>
    <w:rsid w:val="00CB5AF4"/>
    <w:rsid w:val="00CC4433"/>
    <w:rsid w:val="00CE73C5"/>
    <w:rsid w:val="00D00050"/>
    <w:rsid w:val="00D008C2"/>
    <w:rsid w:val="00D05E30"/>
    <w:rsid w:val="00D13A94"/>
    <w:rsid w:val="00D2675C"/>
    <w:rsid w:val="00D62B09"/>
    <w:rsid w:val="00D63071"/>
    <w:rsid w:val="00D65799"/>
    <w:rsid w:val="00D833F1"/>
    <w:rsid w:val="00DC30B6"/>
    <w:rsid w:val="00DC3113"/>
    <w:rsid w:val="00DC5F2B"/>
    <w:rsid w:val="00DD7002"/>
    <w:rsid w:val="00DE1EE8"/>
    <w:rsid w:val="00DE2C3B"/>
    <w:rsid w:val="00DE4E45"/>
    <w:rsid w:val="00DF1B5C"/>
    <w:rsid w:val="00E135CD"/>
    <w:rsid w:val="00E24F96"/>
    <w:rsid w:val="00E2740E"/>
    <w:rsid w:val="00E27D08"/>
    <w:rsid w:val="00E3335C"/>
    <w:rsid w:val="00E36148"/>
    <w:rsid w:val="00E523CA"/>
    <w:rsid w:val="00E5625E"/>
    <w:rsid w:val="00E63FCA"/>
    <w:rsid w:val="00E70451"/>
    <w:rsid w:val="00E80086"/>
    <w:rsid w:val="00E826DF"/>
    <w:rsid w:val="00E8652C"/>
    <w:rsid w:val="00EA3499"/>
    <w:rsid w:val="00EA46FA"/>
    <w:rsid w:val="00EB2671"/>
    <w:rsid w:val="00EB395F"/>
    <w:rsid w:val="00EB51D6"/>
    <w:rsid w:val="00EC2C17"/>
    <w:rsid w:val="00ED1C27"/>
    <w:rsid w:val="00ED7D00"/>
    <w:rsid w:val="00ED7D53"/>
    <w:rsid w:val="00EE13D4"/>
    <w:rsid w:val="00EE6B45"/>
    <w:rsid w:val="00EF62E2"/>
    <w:rsid w:val="00EF74CC"/>
    <w:rsid w:val="00F319B0"/>
    <w:rsid w:val="00F34878"/>
    <w:rsid w:val="00F658F2"/>
    <w:rsid w:val="00F75A16"/>
    <w:rsid w:val="00F8630E"/>
    <w:rsid w:val="00F92772"/>
    <w:rsid w:val="00F933B4"/>
    <w:rsid w:val="00FD51AB"/>
    <w:rsid w:val="00FF3379"/>
    <w:rsid w:val="00FF5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F1621C"/>
  <w15:chartTrackingRefBased/>
  <w15:docId w15:val="{720C05E9-F3BE-4880-871F-C4A2F936A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2F028E"/>
    <w:pPr>
      <w:widowControl w:val="0"/>
      <w:jc w:val="both"/>
    </w:pPr>
  </w:style>
  <w:style w:type="paragraph" w:styleId="1">
    <w:name w:val="heading 1"/>
    <w:basedOn w:val="a"/>
    <w:next w:val="a"/>
    <w:link w:val="10"/>
    <w:uiPriority w:val="9"/>
    <w:qFormat/>
    <w:rsid w:val="00515092"/>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076BB"/>
    <w:pPr>
      <w:snapToGrid w:val="0"/>
      <w:jc w:val="left"/>
    </w:pPr>
  </w:style>
  <w:style w:type="character" w:customStyle="1" w:styleId="a4">
    <w:name w:val="脚注文字列 (文字)"/>
    <w:basedOn w:val="a0"/>
    <w:link w:val="a3"/>
    <w:uiPriority w:val="99"/>
    <w:rsid w:val="007076BB"/>
  </w:style>
  <w:style w:type="character" w:styleId="a5">
    <w:name w:val="footnote reference"/>
    <w:basedOn w:val="a0"/>
    <w:uiPriority w:val="99"/>
    <w:unhideWhenUsed/>
    <w:rsid w:val="007076BB"/>
    <w:rPr>
      <w:vertAlign w:val="superscript"/>
    </w:rPr>
  </w:style>
  <w:style w:type="table" w:styleId="a6">
    <w:name w:val="Table Grid"/>
    <w:basedOn w:val="a1"/>
    <w:uiPriority w:val="39"/>
    <w:rsid w:val="00E6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F1B5C"/>
    <w:pPr>
      <w:tabs>
        <w:tab w:val="center" w:pos="4252"/>
        <w:tab w:val="right" w:pos="8504"/>
      </w:tabs>
      <w:snapToGrid w:val="0"/>
    </w:pPr>
  </w:style>
  <w:style w:type="character" w:customStyle="1" w:styleId="a8">
    <w:name w:val="ヘッダー (文字)"/>
    <w:basedOn w:val="a0"/>
    <w:link w:val="a7"/>
    <w:uiPriority w:val="99"/>
    <w:rsid w:val="00DF1B5C"/>
  </w:style>
  <w:style w:type="paragraph" w:styleId="a9">
    <w:name w:val="footer"/>
    <w:basedOn w:val="a"/>
    <w:link w:val="aa"/>
    <w:uiPriority w:val="99"/>
    <w:unhideWhenUsed/>
    <w:rsid w:val="00DF1B5C"/>
    <w:pPr>
      <w:tabs>
        <w:tab w:val="center" w:pos="4252"/>
        <w:tab w:val="right" w:pos="8504"/>
      </w:tabs>
      <w:snapToGrid w:val="0"/>
    </w:pPr>
  </w:style>
  <w:style w:type="character" w:customStyle="1" w:styleId="aa">
    <w:name w:val="フッター (文字)"/>
    <w:basedOn w:val="a0"/>
    <w:link w:val="a9"/>
    <w:uiPriority w:val="99"/>
    <w:rsid w:val="00DF1B5C"/>
  </w:style>
  <w:style w:type="character" w:styleId="ab">
    <w:name w:val="annotation reference"/>
    <w:basedOn w:val="a0"/>
    <w:uiPriority w:val="99"/>
    <w:semiHidden/>
    <w:unhideWhenUsed/>
    <w:rsid w:val="00CC4433"/>
    <w:rPr>
      <w:sz w:val="18"/>
      <w:szCs w:val="18"/>
    </w:rPr>
  </w:style>
  <w:style w:type="paragraph" w:styleId="ac">
    <w:name w:val="annotation text"/>
    <w:basedOn w:val="a"/>
    <w:link w:val="ad"/>
    <w:uiPriority w:val="99"/>
    <w:semiHidden/>
    <w:unhideWhenUsed/>
    <w:rsid w:val="00CC4433"/>
    <w:pPr>
      <w:jc w:val="left"/>
    </w:pPr>
  </w:style>
  <w:style w:type="character" w:customStyle="1" w:styleId="ad">
    <w:name w:val="コメント文字列 (文字)"/>
    <w:basedOn w:val="a0"/>
    <w:link w:val="ac"/>
    <w:uiPriority w:val="99"/>
    <w:semiHidden/>
    <w:rsid w:val="00CC4433"/>
  </w:style>
  <w:style w:type="paragraph" w:styleId="ae">
    <w:name w:val="annotation subject"/>
    <w:basedOn w:val="ac"/>
    <w:next w:val="ac"/>
    <w:link w:val="af"/>
    <w:uiPriority w:val="99"/>
    <w:semiHidden/>
    <w:unhideWhenUsed/>
    <w:rsid w:val="00CC4433"/>
    <w:rPr>
      <w:b/>
      <w:bCs/>
    </w:rPr>
  </w:style>
  <w:style w:type="character" w:customStyle="1" w:styleId="af">
    <w:name w:val="コメント内容 (文字)"/>
    <w:basedOn w:val="ad"/>
    <w:link w:val="ae"/>
    <w:uiPriority w:val="99"/>
    <w:semiHidden/>
    <w:rsid w:val="00CC4433"/>
    <w:rPr>
      <w:b/>
      <w:bCs/>
    </w:rPr>
  </w:style>
  <w:style w:type="paragraph" w:styleId="af0">
    <w:name w:val="Balloon Text"/>
    <w:basedOn w:val="a"/>
    <w:link w:val="af1"/>
    <w:uiPriority w:val="99"/>
    <w:semiHidden/>
    <w:unhideWhenUsed/>
    <w:rsid w:val="00CC4433"/>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CC4433"/>
    <w:rPr>
      <w:rFonts w:asciiTheme="majorHAnsi" w:eastAsiaTheme="majorEastAsia" w:hAnsiTheme="majorHAnsi" w:cstheme="majorBidi"/>
      <w:sz w:val="18"/>
      <w:szCs w:val="18"/>
    </w:rPr>
  </w:style>
  <w:style w:type="character" w:customStyle="1" w:styleId="10">
    <w:name w:val="見出し 1 (文字)"/>
    <w:basedOn w:val="a0"/>
    <w:link w:val="1"/>
    <w:uiPriority w:val="9"/>
    <w:rsid w:val="00515092"/>
    <w:rPr>
      <w:rFonts w:asciiTheme="majorHAnsi" w:eastAsiaTheme="majorEastAsia" w:hAnsiTheme="majorHAnsi" w:cstheme="majorBidi"/>
      <w:sz w:val="28"/>
      <w:szCs w:val="28"/>
    </w:rPr>
  </w:style>
  <w:style w:type="paragraph" w:styleId="Web">
    <w:name w:val="Normal (Web)"/>
    <w:basedOn w:val="a"/>
    <w:uiPriority w:val="99"/>
    <w:unhideWhenUsed/>
    <w:rsid w:val="00515092"/>
    <w:pPr>
      <w:widowControl/>
      <w:spacing w:before="100" w:beforeAutospacing="1" w:after="100" w:afterAutospacing="1"/>
      <w:jc w:val="left"/>
    </w:pPr>
    <w:rPr>
      <w:rFonts w:ascii="Times New Roman" w:hAnsi="Times New Roman" w:cs="Times New Roman"/>
      <w:kern w:val="0"/>
      <w:sz w:val="24"/>
      <w:szCs w:val="24"/>
    </w:rPr>
  </w:style>
  <w:style w:type="character" w:styleId="af2">
    <w:name w:val="Hyperlink"/>
    <w:basedOn w:val="a0"/>
    <w:uiPriority w:val="99"/>
    <w:unhideWhenUsed/>
    <w:rsid w:val="005B476F"/>
    <w:rPr>
      <w:color w:val="0563C1" w:themeColor="hyperlink"/>
      <w:u w:val="single"/>
    </w:rPr>
  </w:style>
  <w:style w:type="paragraph" w:styleId="af3">
    <w:name w:val="caption"/>
    <w:basedOn w:val="a"/>
    <w:next w:val="a"/>
    <w:uiPriority w:val="35"/>
    <w:unhideWhenUsed/>
    <w:qFormat/>
    <w:rsid w:val="003257BC"/>
    <w:rPr>
      <w:b/>
      <w:bCs/>
      <w:szCs w:val="21"/>
    </w:rPr>
  </w:style>
  <w:style w:type="paragraph" w:styleId="af4">
    <w:name w:val="List Paragraph"/>
    <w:basedOn w:val="a"/>
    <w:uiPriority w:val="34"/>
    <w:qFormat/>
    <w:rsid w:val="0006285C"/>
    <w:pPr>
      <w:ind w:leftChars="400" w:left="840"/>
    </w:pPr>
  </w:style>
  <w:style w:type="paragraph" w:customStyle="1" w:styleId="p1">
    <w:name w:val="p1"/>
    <w:basedOn w:val="a"/>
    <w:rsid w:val="00726A67"/>
    <w:pPr>
      <w:widowControl/>
    </w:pPr>
    <w:rPr>
      <w:rFonts w:ascii="游明朝" w:eastAsia="游明朝" w:hAnsi="游明朝" w:cs="Times New Roman"/>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343429">
      <w:bodyDiv w:val="1"/>
      <w:marLeft w:val="0"/>
      <w:marRight w:val="0"/>
      <w:marTop w:val="0"/>
      <w:marBottom w:val="0"/>
      <w:divBdr>
        <w:top w:val="none" w:sz="0" w:space="0" w:color="auto"/>
        <w:left w:val="none" w:sz="0" w:space="0" w:color="auto"/>
        <w:bottom w:val="none" w:sz="0" w:space="0" w:color="auto"/>
        <w:right w:val="none" w:sz="0" w:space="0" w:color="auto"/>
      </w:divBdr>
    </w:div>
    <w:div w:id="1494024216">
      <w:bodyDiv w:val="1"/>
      <w:marLeft w:val="0"/>
      <w:marRight w:val="0"/>
      <w:marTop w:val="0"/>
      <w:marBottom w:val="0"/>
      <w:divBdr>
        <w:top w:val="none" w:sz="0" w:space="0" w:color="auto"/>
        <w:left w:val="none" w:sz="0" w:space="0" w:color="auto"/>
        <w:bottom w:val="none" w:sz="0" w:space="0" w:color="auto"/>
        <w:right w:val="none" w:sz="0" w:space="0" w:color="auto"/>
      </w:divBdr>
    </w:div>
    <w:div w:id="2035107849">
      <w:bodyDiv w:val="1"/>
      <w:marLeft w:val="0"/>
      <w:marRight w:val="0"/>
      <w:marTop w:val="0"/>
      <w:marBottom w:val="0"/>
      <w:divBdr>
        <w:top w:val="none" w:sz="0" w:space="0" w:color="auto"/>
        <w:left w:val="none" w:sz="0" w:space="0" w:color="auto"/>
        <w:bottom w:val="none" w:sz="0" w:space="0" w:color="auto"/>
        <w:right w:val="none" w:sz="0" w:space="0" w:color="auto"/>
      </w:divBdr>
    </w:div>
    <w:div w:id="206833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wwwtb.mlit.go.jp/tohoku/kk/ecocar130331.pdf" TargetMode="External"/><Relationship Id="rId3" Type="http://schemas.openxmlformats.org/officeDocument/2006/relationships/styles" Target="styles.xml"/><Relationship Id="rId21" Type="http://schemas.openxmlformats.org/officeDocument/2006/relationships/hyperlink" Target="http://www.meti.go.jp/committee/sougouenergy/shigen_nenryo/sekiyu_gas/pdf/001_03_00.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env.go.jp/policy/tax/about.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nv.go.jp/earth/ondanka/mlt_roadmap/comm/com02-02/mat05.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ev-pc.or.jp/event/pdf_tokyo/tokyo01.pdf" TargetMode="External"/><Relationship Id="rId28" Type="http://schemas.openxmlformats.org/officeDocument/2006/relationships/hyperlink" Target="http://business.nikkeibp.co.jp/article/manage/20141201/274526/" TargetMode="Externa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www.meti.go.jp/policy/economy/keiei_innovation/sangyokinyu/GB/04.pdf" TargetMode="External"/><Relationship Id="rId27" Type="http://schemas.openxmlformats.org/officeDocument/2006/relationships/hyperlink" Target="http://www.mof.go.jp/tax_policy/summary/consumption/132.ht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business.nikkeibp.co.jp/article/manage/20141201/274526/" TargetMode="External"/><Relationship Id="rId3" Type="http://schemas.openxmlformats.org/officeDocument/2006/relationships/hyperlink" Target="http://www.cev-pc.or.jp/event/pdf_tokyo/tokyo01.pdf" TargetMode="External"/><Relationship Id="rId7" Type="http://schemas.openxmlformats.org/officeDocument/2006/relationships/hyperlink" Target="http://www.env.go.jp/policy/tax/about.html" TargetMode="External"/><Relationship Id="rId2" Type="http://schemas.openxmlformats.org/officeDocument/2006/relationships/hyperlink" Target="http://www.itmedia.co.jp/smartjapan/articles/1706/27/news021.html" TargetMode="External"/><Relationship Id="rId1" Type="http://schemas.openxmlformats.org/officeDocument/2006/relationships/hyperlink" Target="http://www.cev-pc.or.jp/kiso/s.html#355" TargetMode="External"/><Relationship Id="rId6" Type="http://schemas.openxmlformats.org/officeDocument/2006/relationships/hyperlink" Target="http://www.mof.go.jp/tax_policy/summary/consumption/132.htm" TargetMode="External"/><Relationship Id="rId5" Type="http://schemas.openxmlformats.org/officeDocument/2006/relationships/hyperlink" Target="http://www.cev-pc.or.jp/event/pdf_tokyo/tokyo01.pdf" TargetMode="External"/><Relationship Id="rId4" Type="http://schemas.openxmlformats.org/officeDocument/2006/relationships/hyperlink" Target="http://www.env.go.jp/earth/ondanka/mlt_roadmap/comm/com02-02/mat05.pdf" TargetMode="External"/><Relationship Id="rId9" Type="http://schemas.openxmlformats.org/officeDocument/2006/relationships/hyperlink" Target="http://wwwtb.mlit.go.jp/tohoku/kk/ecocar13033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9B256-169B-48E3-8B3B-F9B2985EB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23</Pages>
  <Words>2913</Words>
  <Characters>16609</Characters>
  <Application>Microsoft Office Word</Application>
  <DocSecurity>0</DocSecurity>
  <Lines>138</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小杉龍司</dc:creator>
  <cp:keywords/>
  <dc:description/>
  <cp:lastModifiedBy>小杉龍司</cp:lastModifiedBy>
  <cp:revision>15</cp:revision>
  <dcterms:created xsi:type="dcterms:W3CDTF">2017-08-03T13:52:00Z</dcterms:created>
  <dcterms:modified xsi:type="dcterms:W3CDTF">2017-08-29T11:38:00Z</dcterms:modified>
</cp:coreProperties>
</file>